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C6162" w14:textId="65E8F220" w:rsidR="00B60D36" w:rsidRPr="002F708A" w:rsidRDefault="00B60D36" w:rsidP="00B60D36">
      <w:pPr>
        <w:rPr>
          <w:sz w:val="28"/>
        </w:rPr>
      </w:pPr>
      <w:r w:rsidRPr="002F708A">
        <w:rPr>
          <w:sz w:val="28"/>
        </w:rPr>
        <w:t xml:space="preserve"> </w:t>
      </w:r>
      <w:r w:rsidRPr="002F708A">
        <w:rPr>
          <w:b/>
          <w:bCs/>
          <w:sz w:val="24"/>
          <w:szCs w:val="20"/>
        </w:rPr>
        <w:t>Academy Schools Sector in England SARA Annexes 201</w:t>
      </w:r>
      <w:r w:rsidR="006505DF">
        <w:rPr>
          <w:b/>
          <w:bCs/>
          <w:sz w:val="24"/>
          <w:szCs w:val="20"/>
        </w:rPr>
        <w:t>8</w:t>
      </w:r>
      <w:r w:rsidRPr="002F708A">
        <w:rPr>
          <w:b/>
          <w:bCs/>
          <w:sz w:val="24"/>
          <w:szCs w:val="20"/>
        </w:rPr>
        <w:t>/1</w:t>
      </w:r>
      <w:r w:rsidR="006505DF">
        <w:rPr>
          <w:b/>
          <w:bCs/>
          <w:sz w:val="24"/>
          <w:szCs w:val="20"/>
        </w:rPr>
        <w:t>9</w:t>
      </w:r>
    </w:p>
    <w:p w14:paraId="68E1DA88" w14:textId="69D55B8B" w:rsidR="006A5C07" w:rsidRDefault="00B60D36" w:rsidP="00B60D36">
      <w:pPr>
        <w:rPr>
          <w:b/>
          <w:bCs/>
        </w:rPr>
      </w:pPr>
      <w:r w:rsidRPr="00B60D36">
        <w:t xml:space="preserve"> </w:t>
      </w:r>
      <w:r w:rsidRPr="00B60D36">
        <w:rPr>
          <w:b/>
          <w:bCs/>
        </w:rPr>
        <w:t>Annex 5 – Key Performance Indicators for Regional Schools Commissioners</w:t>
      </w:r>
      <w:r w:rsidR="006A5C07">
        <w:rPr>
          <w:b/>
          <w:bCs/>
        </w:rPr>
        <w:t xml:space="preserve"> as of August 2019</w:t>
      </w:r>
    </w:p>
    <w:p w14:paraId="55859A1E" w14:textId="662922FD" w:rsidR="004958FD" w:rsidRPr="00DE52CC" w:rsidRDefault="004958FD" w:rsidP="004958FD">
      <w:pPr>
        <w:rPr>
          <w:rFonts w:cstheme="minorHAnsi"/>
        </w:rPr>
      </w:pPr>
      <w:r w:rsidRPr="00DE52CC">
        <w:rPr>
          <w:rFonts w:cstheme="minorHAnsi"/>
        </w:rPr>
        <w:t xml:space="preserve">This annex has been updated to reflect the latest Key Performance Indicators that are used by Regional School Commissioners. </w:t>
      </w:r>
      <w:r w:rsidR="00070F73" w:rsidRPr="00DE52CC">
        <w:rPr>
          <w:rFonts w:cstheme="minorHAnsi"/>
        </w:rPr>
        <w:t xml:space="preserve">These replace those used in earlier reports, which are no longer used as KPIs. </w:t>
      </w:r>
    </w:p>
    <w:p w14:paraId="48116276" w14:textId="77777777" w:rsidR="00B60D36" w:rsidRPr="00DE52CC" w:rsidRDefault="00B60D36" w:rsidP="00B60D36">
      <w:pPr>
        <w:rPr>
          <w:rFonts w:cstheme="minorHAnsi"/>
          <w:b/>
          <w:bCs/>
        </w:rPr>
      </w:pPr>
      <w:r w:rsidRPr="00DE52CC">
        <w:rPr>
          <w:rFonts w:cstheme="minorHAnsi"/>
          <w:b/>
          <w:bCs/>
        </w:rPr>
        <w:t>Key Performance Indicators</w:t>
      </w:r>
    </w:p>
    <w:p w14:paraId="03A31CCB" w14:textId="0467285E" w:rsidR="00B60D36" w:rsidRPr="00DE52CC" w:rsidRDefault="00B60D36" w:rsidP="00B60D36">
      <w:pPr>
        <w:rPr>
          <w:rFonts w:cstheme="minorHAnsi"/>
        </w:rPr>
      </w:pPr>
      <w:r w:rsidRPr="00DE52CC">
        <w:rPr>
          <w:rFonts w:cstheme="minorHAnsi"/>
        </w:rPr>
        <w:t>KPI 1</w:t>
      </w:r>
      <w:r w:rsidR="006505DF" w:rsidRPr="00DE52CC">
        <w:rPr>
          <w:rFonts w:cstheme="minorHAnsi"/>
        </w:rPr>
        <w:t>a</w:t>
      </w:r>
      <w:r w:rsidRPr="00DE52CC">
        <w:rPr>
          <w:rFonts w:cstheme="minorHAnsi"/>
        </w:rPr>
        <w:t xml:space="preserve">) </w:t>
      </w:r>
      <w:proofErr w:type="spellStart"/>
      <w:r w:rsidR="006505DF" w:rsidRPr="00DE52CC">
        <w:rPr>
          <w:rFonts w:cstheme="minorHAnsi"/>
        </w:rPr>
        <w:t>i</w:t>
      </w:r>
      <w:proofErr w:type="spellEnd"/>
      <w:r w:rsidR="006505DF" w:rsidRPr="00DE52CC">
        <w:rPr>
          <w:rFonts w:cstheme="minorHAnsi"/>
        </w:rPr>
        <w:t>) Number</w:t>
      </w:r>
      <w:r w:rsidR="007D2508" w:rsidRPr="00DE52CC">
        <w:rPr>
          <w:rFonts w:cstheme="minorHAnsi"/>
        </w:rPr>
        <w:t xml:space="preserve"> </w:t>
      </w:r>
      <w:r w:rsidR="004958FD" w:rsidRPr="00DE52CC">
        <w:rPr>
          <w:rFonts w:cstheme="minorHAnsi"/>
        </w:rPr>
        <w:t xml:space="preserve">and percentage </w:t>
      </w:r>
      <w:r w:rsidR="006505DF" w:rsidRPr="00DE52CC">
        <w:rPr>
          <w:rFonts w:cstheme="minorHAnsi"/>
        </w:rPr>
        <w:t>of Inadequate</w:t>
      </w:r>
      <w:r w:rsidR="00070F73" w:rsidRPr="00DE52CC">
        <w:rPr>
          <w:rFonts w:cstheme="minorHAnsi"/>
        </w:rPr>
        <w:t xml:space="preserve"> inspected</w:t>
      </w:r>
      <w:r w:rsidR="006505DF" w:rsidRPr="00DE52CC">
        <w:rPr>
          <w:rFonts w:cstheme="minorHAnsi"/>
        </w:rPr>
        <w:t xml:space="preserve"> academies</w:t>
      </w:r>
      <w:r w:rsidR="00DE52CC" w:rsidRPr="00DE52CC">
        <w:rPr>
          <w:rFonts w:cstheme="minorHAnsi"/>
        </w:rPr>
        <w:t>,</w:t>
      </w:r>
      <w:r w:rsidR="00634407" w:rsidRPr="00DE52CC">
        <w:rPr>
          <w:rFonts w:cstheme="minorHAnsi"/>
        </w:rPr>
        <w:t xml:space="preserve"> under their current URN</w:t>
      </w:r>
    </w:p>
    <w:tbl>
      <w:tblPr>
        <w:tblW w:w="6200" w:type="dxa"/>
        <w:tblLook w:val="04A0" w:firstRow="1" w:lastRow="0" w:firstColumn="1" w:lastColumn="0" w:noHBand="0" w:noVBand="1"/>
      </w:tblPr>
      <w:tblGrid>
        <w:gridCol w:w="3720"/>
        <w:gridCol w:w="1262"/>
        <w:gridCol w:w="1340"/>
      </w:tblGrid>
      <w:tr w:rsidR="00F730E9" w:rsidRPr="00DE52CC" w14:paraId="55B1B0EA" w14:textId="77777777" w:rsidTr="00F730E9">
        <w:trPr>
          <w:trHeight w:val="28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1B98E63" w14:textId="77777777" w:rsidR="00F730E9" w:rsidRPr="00DE52CC" w:rsidRDefault="00F730E9" w:rsidP="00F730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RSC Region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698596F" w14:textId="77777777" w:rsidR="00F730E9" w:rsidRPr="00DE52CC" w:rsidRDefault="00F730E9" w:rsidP="00F730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Inadequate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ABDFB3" w14:textId="77777777" w:rsidR="00F730E9" w:rsidRPr="00DE52CC" w:rsidRDefault="00F730E9" w:rsidP="00F730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% Inadequate</w:t>
            </w:r>
          </w:p>
        </w:tc>
      </w:tr>
      <w:tr w:rsidR="00F730E9" w:rsidRPr="00DE52CC" w14:paraId="2BB2FC1C" w14:textId="77777777" w:rsidTr="00F730E9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E783" w14:textId="77777777" w:rsidR="00F730E9" w:rsidRPr="00DE52CC" w:rsidRDefault="00F730E9" w:rsidP="00F730E9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East Midlands and Humber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52A5" w14:textId="52C12EE6" w:rsidR="00F730E9" w:rsidRPr="00DE52CC" w:rsidRDefault="00F730E9" w:rsidP="00F730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2</w:t>
            </w:r>
            <w:r w:rsidR="00634407" w:rsidRPr="00DE52CC">
              <w:rPr>
                <w:rFonts w:eastAsia="Times New Roman" w:cstheme="minorHAnsi"/>
                <w:color w:val="000000"/>
                <w:lang w:eastAsia="en-GB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7DC6" w14:textId="6EA711B5" w:rsidR="00F730E9" w:rsidRPr="00DE52CC" w:rsidRDefault="00634407" w:rsidP="00F730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4</w:t>
            </w:r>
            <w:r w:rsidR="00F730E9" w:rsidRPr="00DE52CC">
              <w:rPr>
                <w:rFonts w:eastAsia="Times New Roman" w:cstheme="minorHAnsi"/>
                <w:color w:val="000000"/>
                <w:lang w:eastAsia="en-GB"/>
              </w:rPr>
              <w:t>.</w:t>
            </w:r>
            <w:r w:rsidRPr="00DE52CC">
              <w:rPr>
                <w:rFonts w:eastAsia="Times New Roman" w:cstheme="minorHAnsi"/>
                <w:color w:val="000000"/>
                <w:lang w:eastAsia="en-GB"/>
              </w:rPr>
              <w:t>1</w:t>
            </w:r>
            <w:r w:rsidR="00F730E9" w:rsidRPr="00DE52CC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F730E9" w:rsidRPr="00DE52CC" w14:paraId="1A704037" w14:textId="77777777" w:rsidTr="00F730E9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7639" w14:textId="77777777" w:rsidR="00F730E9" w:rsidRPr="00DE52CC" w:rsidRDefault="00F730E9" w:rsidP="00F730E9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East of England and North East London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1716" w14:textId="6DE6C8FD" w:rsidR="00F730E9" w:rsidRPr="00DE52CC" w:rsidRDefault="00634407" w:rsidP="00F730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18A" w14:textId="526643CA" w:rsidR="00F730E9" w:rsidRPr="00DE52CC" w:rsidRDefault="00F730E9" w:rsidP="00F730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1.</w:t>
            </w:r>
            <w:r w:rsidR="00634407" w:rsidRPr="00DE52CC">
              <w:rPr>
                <w:rFonts w:eastAsia="Times New Roman" w:cstheme="minorHAnsi"/>
                <w:color w:val="000000"/>
                <w:lang w:eastAsia="en-GB"/>
              </w:rPr>
              <w:t>7</w:t>
            </w:r>
            <w:r w:rsidRPr="00DE52CC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F730E9" w:rsidRPr="00DE52CC" w14:paraId="311DEE7C" w14:textId="77777777" w:rsidTr="00F730E9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32BA" w14:textId="77777777" w:rsidR="00F730E9" w:rsidRPr="00DE52CC" w:rsidRDefault="00F730E9" w:rsidP="00F730E9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Lancashire and West Yorkshire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04FA" w14:textId="6BBA7BCD" w:rsidR="00F730E9" w:rsidRPr="00DE52CC" w:rsidRDefault="00F730E9" w:rsidP="00F730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</w:t>
            </w:r>
            <w:r w:rsidR="00634407" w:rsidRPr="00DE52CC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CAE1" w14:textId="0ED35D9E" w:rsidR="00F730E9" w:rsidRPr="00DE52CC" w:rsidRDefault="00F730E9" w:rsidP="00F730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3.</w:t>
            </w:r>
            <w:r w:rsidR="00634407" w:rsidRPr="00DE52CC">
              <w:rPr>
                <w:rFonts w:eastAsia="Times New Roman" w:cstheme="minorHAnsi"/>
                <w:color w:val="000000"/>
                <w:lang w:eastAsia="en-GB"/>
              </w:rPr>
              <w:t>6</w:t>
            </w:r>
            <w:r w:rsidRPr="00DE52CC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F730E9" w:rsidRPr="00DE52CC" w14:paraId="208F8170" w14:textId="77777777" w:rsidTr="00F730E9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CF3B" w14:textId="77777777" w:rsidR="00F730E9" w:rsidRPr="00DE52CC" w:rsidRDefault="00F730E9" w:rsidP="00F730E9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North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EF83" w14:textId="797C0440" w:rsidR="00F730E9" w:rsidRPr="00DE52CC" w:rsidRDefault="00634407" w:rsidP="00F730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4FB5" w14:textId="0E7967CA" w:rsidR="00F730E9" w:rsidRPr="00DE52CC" w:rsidRDefault="00634407" w:rsidP="00F730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4.2</w:t>
            </w:r>
            <w:r w:rsidR="00F730E9" w:rsidRPr="00DE52CC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F730E9" w:rsidRPr="00DE52CC" w14:paraId="392CCA40" w14:textId="77777777" w:rsidTr="00F730E9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5F62" w14:textId="77777777" w:rsidR="00F730E9" w:rsidRPr="00DE52CC" w:rsidRDefault="00F730E9" w:rsidP="00F730E9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North West London and South Central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0733" w14:textId="3A2731DA" w:rsidR="00F730E9" w:rsidRPr="00DE52CC" w:rsidRDefault="00F730E9" w:rsidP="00F730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</w:t>
            </w:r>
            <w:r w:rsidR="00634407" w:rsidRPr="00DE52CC">
              <w:rPr>
                <w:rFonts w:eastAsia="Times New Roman" w:cstheme="minorHAnsi"/>
                <w:color w:val="000000"/>
                <w:lang w:eastAsia="en-GB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E5C7" w14:textId="323E9D5D" w:rsidR="00F730E9" w:rsidRPr="00DE52CC" w:rsidRDefault="00F730E9" w:rsidP="00F730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2.</w:t>
            </w:r>
            <w:r w:rsidR="00634407" w:rsidRPr="00DE52CC">
              <w:rPr>
                <w:rFonts w:eastAsia="Times New Roman" w:cstheme="minorHAnsi"/>
                <w:color w:val="000000"/>
                <w:lang w:eastAsia="en-GB"/>
              </w:rPr>
              <w:t>9</w:t>
            </w:r>
            <w:r w:rsidRPr="00DE52CC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F730E9" w:rsidRPr="00DE52CC" w14:paraId="39D98478" w14:textId="77777777" w:rsidTr="00F730E9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D39E" w14:textId="77777777" w:rsidR="00F730E9" w:rsidRPr="00DE52CC" w:rsidRDefault="00F730E9" w:rsidP="00F730E9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South East and South London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0A1F" w14:textId="65110060" w:rsidR="00F730E9" w:rsidRPr="00DE52CC" w:rsidRDefault="00F730E9" w:rsidP="00F730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</w:t>
            </w:r>
            <w:r w:rsidR="00634407" w:rsidRPr="00DE52CC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2A2B" w14:textId="39C5E3F8" w:rsidR="00F730E9" w:rsidRPr="00DE52CC" w:rsidRDefault="00F730E9" w:rsidP="00F730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1.</w:t>
            </w:r>
            <w:r w:rsidR="00634407" w:rsidRPr="00DE52CC">
              <w:rPr>
                <w:rFonts w:eastAsia="Times New Roman" w:cstheme="minorHAnsi"/>
                <w:color w:val="000000"/>
                <w:lang w:eastAsia="en-GB"/>
              </w:rPr>
              <w:t>8</w:t>
            </w:r>
            <w:r w:rsidRPr="00DE52CC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F730E9" w:rsidRPr="00DE52CC" w14:paraId="413651C1" w14:textId="77777777" w:rsidTr="00F730E9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C90E" w14:textId="77777777" w:rsidR="00F730E9" w:rsidRPr="00DE52CC" w:rsidRDefault="00F730E9" w:rsidP="00F730E9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South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19A6" w14:textId="1B78119D" w:rsidR="00F730E9" w:rsidRPr="00DE52CC" w:rsidRDefault="00634407" w:rsidP="00F730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9694" w14:textId="36F58057" w:rsidR="00F730E9" w:rsidRPr="00DE52CC" w:rsidRDefault="00F730E9" w:rsidP="00F730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5.</w:t>
            </w:r>
            <w:r w:rsidR="00634407" w:rsidRPr="00DE52CC">
              <w:rPr>
                <w:rFonts w:eastAsia="Times New Roman" w:cstheme="minorHAnsi"/>
                <w:color w:val="000000"/>
                <w:lang w:eastAsia="en-GB"/>
              </w:rPr>
              <w:t>4</w:t>
            </w:r>
            <w:r w:rsidRPr="00DE52CC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F730E9" w:rsidRPr="00DE52CC" w14:paraId="2A239055" w14:textId="77777777" w:rsidTr="00F730E9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367A" w14:textId="77777777" w:rsidR="00F730E9" w:rsidRPr="00DE52CC" w:rsidRDefault="00F730E9" w:rsidP="00F730E9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West Midlands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BD3C" w14:textId="3E80E9B3" w:rsidR="00F730E9" w:rsidRPr="00DE52CC" w:rsidRDefault="00F730E9" w:rsidP="00F730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</w:t>
            </w:r>
            <w:r w:rsidR="00634407" w:rsidRPr="00DE52CC">
              <w:rPr>
                <w:rFonts w:eastAsia="Times New Roman" w:cstheme="minorHAnsi"/>
                <w:color w:val="000000"/>
                <w:lang w:eastAsia="en-GB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9B9D" w14:textId="1BD2466C" w:rsidR="00F730E9" w:rsidRPr="00DE52CC" w:rsidRDefault="00634407" w:rsidP="00F730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3.2</w:t>
            </w:r>
            <w:r w:rsidR="00F730E9" w:rsidRPr="00DE52CC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F730E9" w:rsidRPr="00DE52CC" w14:paraId="68B7D63A" w14:textId="77777777" w:rsidTr="00F730E9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CC7F" w14:textId="77777777" w:rsidR="00F730E9" w:rsidRPr="00DE52CC" w:rsidRDefault="00F730E9" w:rsidP="00F730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DFC9" w14:textId="29F86B5A" w:rsidR="00F730E9" w:rsidRPr="00DE52CC" w:rsidRDefault="00F730E9" w:rsidP="00F730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</w:t>
            </w:r>
            <w:r w:rsidR="00634407"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C59D" w14:textId="5A1BDC83" w:rsidR="00F730E9" w:rsidRPr="00DE52CC" w:rsidRDefault="00634407" w:rsidP="00F730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3.3</w:t>
            </w:r>
            <w:r w:rsidR="00F730E9"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%</w:t>
            </w:r>
          </w:p>
        </w:tc>
      </w:tr>
    </w:tbl>
    <w:p w14:paraId="57AF198C" w14:textId="77777777" w:rsidR="00C6233C" w:rsidRPr="00DE52CC" w:rsidRDefault="004958FD" w:rsidP="00B60D36">
      <w:pPr>
        <w:rPr>
          <w:rFonts w:cstheme="minorHAnsi"/>
        </w:rPr>
      </w:pPr>
      <w:r w:rsidRPr="00DE52CC">
        <w:rPr>
          <w:rFonts w:cstheme="minorHAnsi"/>
        </w:rPr>
        <w:t>Source</w:t>
      </w:r>
      <w:r w:rsidR="00C6233C" w:rsidRPr="00DE52CC">
        <w:rPr>
          <w:rFonts w:cstheme="minorHAnsi"/>
        </w:rPr>
        <w:t>s</w:t>
      </w:r>
      <w:r w:rsidRPr="00DE52CC">
        <w:rPr>
          <w:rFonts w:cstheme="minorHAnsi"/>
        </w:rPr>
        <w:t xml:space="preserve">: </w:t>
      </w:r>
    </w:p>
    <w:p w14:paraId="498594E9" w14:textId="4872FE2D" w:rsidR="00B60D36" w:rsidRPr="00DE52CC" w:rsidRDefault="00C6233C" w:rsidP="00B60D36">
      <w:pPr>
        <w:rPr>
          <w:rFonts w:cstheme="minorHAnsi"/>
        </w:rPr>
      </w:pPr>
      <w:r w:rsidRPr="00DE52CC">
        <w:rPr>
          <w:rFonts w:cstheme="minorHAnsi"/>
        </w:rPr>
        <w:t xml:space="preserve">Ofsted Data: </w:t>
      </w:r>
      <w:hyperlink r:id="rId10" w:history="1">
        <w:r w:rsidRPr="00DE52CC">
          <w:rPr>
            <w:rStyle w:val="Hyperlink"/>
            <w:rFonts w:cstheme="minorHAnsi"/>
          </w:rPr>
          <w:t>https://www.gov.uk/government/statistics/state-funded-schools-inspections-and-outcomes-as-at-31-august-2019</w:t>
        </w:r>
      </w:hyperlink>
      <w:r w:rsidR="00070F73" w:rsidRPr="00DE52CC">
        <w:rPr>
          <w:rFonts w:cstheme="minorHAnsi"/>
        </w:rPr>
        <w:t xml:space="preserve"> </w:t>
      </w:r>
    </w:p>
    <w:p w14:paraId="7ABF0994" w14:textId="15D0259C" w:rsidR="00C6233C" w:rsidRPr="00DE52CC" w:rsidRDefault="00C6233C" w:rsidP="00B60D36">
      <w:pPr>
        <w:rPr>
          <w:rFonts w:cstheme="minorHAnsi"/>
        </w:rPr>
      </w:pPr>
      <w:r w:rsidRPr="00DE52CC">
        <w:rPr>
          <w:rFonts w:cstheme="minorHAnsi"/>
        </w:rPr>
        <w:t>RSC Region: https://ea-edubase-api-prod.azurewebsites.net/edubase/downloads/public/edubasealldata20200513.csv</w:t>
      </w:r>
    </w:p>
    <w:p w14:paraId="76750E65" w14:textId="4C4CBE0A" w:rsidR="0038193A" w:rsidRPr="00DE52CC" w:rsidRDefault="0038193A" w:rsidP="00B60D36">
      <w:pPr>
        <w:rPr>
          <w:rFonts w:cstheme="minorHAnsi"/>
        </w:rPr>
      </w:pPr>
    </w:p>
    <w:p w14:paraId="59BA5C33" w14:textId="04844D0F" w:rsidR="006505DF" w:rsidRPr="00DE52CC" w:rsidRDefault="006505DF" w:rsidP="00B60D36">
      <w:pPr>
        <w:rPr>
          <w:rFonts w:cstheme="minorHAnsi"/>
        </w:rPr>
      </w:pPr>
      <w:r w:rsidRPr="00DE52CC">
        <w:rPr>
          <w:rFonts w:cstheme="minorHAnsi"/>
        </w:rPr>
        <w:t>KPI 1a) ii) Number</w:t>
      </w:r>
      <w:r w:rsidR="007D2508" w:rsidRPr="00DE52CC">
        <w:rPr>
          <w:rFonts w:cstheme="minorHAnsi"/>
        </w:rPr>
        <w:t xml:space="preserve"> (%)</w:t>
      </w:r>
      <w:r w:rsidRPr="00DE52CC">
        <w:rPr>
          <w:rFonts w:cstheme="minorHAnsi"/>
        </w:rPr>
        <w:t xml:space="preserve"> of Inadequate </w:t>
      </w:r>
      <w:r w:rsidR="00070F73" w:rsidRPr="00DE52CC">
        <w:rPr>
          <w:rFonts w:cstheme="minorHAnsi"/>
        </w:rPr>
        <w:t xml:space="preserve">inspected </w:t>
      </w:r>
      <w:r w:rsidRPr="00DE52CC">
        <w:rPr>
          <w:rFonts w:cstheme="minorHAnsi"/>
        </w:rPr>
        <w:t>Free Schools</w:t>
      </w:r>
      <w:r w:rsidR="00DE52CC" w:rsidRPr="00DE52CC">
        <w:rPr>
          <w:rFonts w:cstheme="minorHAnsi"/>
        </w:rPr>
        <w:t>,</w:t>
      </w:r>
      <w:r w:rsidR="00DE786C" w:rsidRPr="00DE52CC">
        <w:rPr>
          <w:rFonts w:cstheme="minorHAnsi"/>
        </w:rPr>
        <w:t xml:space="preserve"> </w:t>
      </w:r>
      <w:r w:rsidR="00634407" w:rsidRPr="00DE52CC">
        <w:rPr>
          <w:rFonts w:cstheme="minorHAnsi"/>
        </w:rPr>
        <w:t>under their current URN</w:t>
      </w:r>
    </w:p>
    <w:tbl>
      <w:tblPr>
        <w:tblpPr w:leftFromText="180" w:rightFromText="180" w:vertAnchor="text" w:tblpY="1"/>
        <w:tblOverlap w:val="never"/>
        <w:tblW w:w="6516" w:type="dxa"/>
        <w:tblLook w:val="04A0" w:firstRow="1" w:lastRow="0" w:firstColumn="1" w:lastColumn="0" w:noHBand="0" w:noVBand="1"/>
      </w:tblPr>
      <w:tblGrid>
        <w:gridCol w:w="3720"/>
        <w:gridCol w:w="1262"/>
        <w:gridCol w:w="1534"/>
      </w:tblGrid>
      <w:tr w:rsidR="006A5C07" w:rsidRPr="00DE52CC" w14:paraId="173B9710" w14:textId="77777777" w:rsidTr="00DE786C">
        <w:trPr>
          <w:trHeight w:val="28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BA36345" w14:textId="15D6BFDE" w:rsidR="006A5C07" w:rsidRPr="00DE52CC" w:rsidRDefault="00DE786C" w:rsidP="00DE78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RSC Region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6243DD2" w14:textId="77777777" w:rsidR="006A5C07" w:rsidRPr="00DE52CC" w:rsidRDefault="006A5C07" w:rsidP="00DE78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Inadequate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7648B29" w14:textId="77777777" w:rsidR="006A5C07" w:rsidRPr="00DE52CC" w:rsidRDefault="006A5C07" w:rsidP="00DE78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% Inadequate</w:t>
            </w:r>
          </w:p>
        </w:tc>
      </w:tr>
      <w:tr w:rsidR="00DE786C" w:rsidRPr="00DE52CC" w14:paraId="34C86127" w14:textId="77777777" w:rsidTr="00DE786C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D95E" w14:textId="6CA39DAA" w:rsidR="00DE786C" w:rsidRPr="00DE52CC" w:rsidRDefault="00DE786C" w:rsidP="00DE786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East Midlands and Humber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FB57A" w14:textId="5BE47F4A" w:rsidR="00DE786C" w:rsidRPr="00DE52CC" w:rsidRDefault="00DE786C" w:rsidP="00DE78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EA5B" w14:textId="42239ADC" w:rsidR="00DE786C" w:rsidRPr="00DE52CC" w:rsidRDefault="00DE786C" w:rsidP="00DE78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0.0%</w:t>
            </w:r>
          </w:p>
        </w:tc>
      </w:tr>
      <w:tr w:rsidR="006A5C07" w:rsidRPr="00DE52CC" w14:paraId="7D58F3E6" w14:textId="77777777" w:rsidTr="00DE786C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FB41" w14:textId="77777777" w:rsidR="006A5C07" w:rsidRPr="00DE52CC" w:rsidRDefault="006A5C07" w:rsidP="00DE786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East of England and North East London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E088" w14:textId="52D89DAB" w:rsidR="006A5C07" w:rsidRPr="00DE52CC" w:rsidRDefault="002E5E2D" w:rsidP="00DE78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74CF" w14:textId="7573200C" w:rsidR="006A5C07" w:rsidRPr="00DE52CC" w:rsidRDefault="002E5E2D" w:rsidP="00DE78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7</w:t>
            </w:r>
            <w:r w:rsidR="006A5C07" w:rsidRPr="00DE52CC">
              <w:rPr>
                <w:rFonts w:eastAsia="Times New Roman" w:cstheme="minorHAnsi"/>
                <w:color w:val="000000"/>
                <w:lang w:eastAsia="en-GB"/>
              </w:rPr>
              <w:t>.</w:t>
            </w:r>
            <w:r w:rsidRPr="00DE52CC">
              <w:rPr>
                <w:rFonts w:eastAsia="Times New Roman" w:cstheme="minorHAnsi"/>
                <w:color w:val="000000"/>
                <w:lang w:eastAsia="en-GB"/>
              </w:rPr>
              <w:t>6</w:t>
            </w:r>
            <w:r w:rsidR="006A5C07" w:rsidRPr="00DE52CC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6A5C07" w:rsidRPr="00DE52CC" w14:paraId="618EDF79" w14:textId="77777777" w:rsidTr="00DE786C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C26D" w14:textId="77777777" w:rsidR="006A5C07" w:rsidRPr="00DE52CC" w:rsidRDefault="006A5C07" w:rsidP="00DE786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Lancashire and West Yorkshire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C3CF" w14:textId="5B25856E" w:rsidR="006A5C07" w:rsidRPr="00DE52CC" w:rsidRDefault="002E5E2D" w:rsidP="00DE78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D1D6" w14:textId="45A52E8C" w:rsidR="006A5C07" w:rsidRPr="00DE52CC" w:rsidRDefault="002E5E2D" w:rsidP="00DE78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4</w:t>
            </w:r>
            <w:r w:rsidR="006A5C07" w:rsidRPr="00DE52CC">
              <w:rPr>
                <w:rFonts w:eastAsia="Times New Roman" w:cstheme="minorHAnsi"/>
                <w:color w:val="000000"/>
                <w:lang w:eastAsia="en-GB"/>
              </w:rPr>
              <w:t>.</w:t>
            </w:r>
            <w:r w:rsidRPr="00DE52CC">
              <w:rPr>
                <w:rFonts w:eastAsia="Times New Roman" w:cstheme="minorHAnsi"/>
                <w:color w:val="000000"/>
                <w:lang w:eastAsia="en-GB"/>
              </w:rPr>
              <w:t>6</w:t>
            </w:r>
            <w:r w:rsidR="006A5C07" w:rsidRPr="00DE52CC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6A5C07" w:rsidRPr="00DE52CC" w14:paraId="76047949" w14:textId="77777777" w:rsidTr="00DE786C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11E7" w14:textId="77777777" w:rsidR="006A5C07" w:rsidRPr="00DE52CC" w:rsidRDefault="006A5C07" w:rsidP="00DE786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North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A8CF" w14:textId="497CC4C5" w:rsidR="006A5C07" w:rsidRPr="00DE52CC" w:rsidRDefault="002E5E2D" w:rsidP="00DE78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B12B" w14:textId="3D81020D" w:rsidR="006A5C07" w:rsidRPr="00DE52CC" w:rsidRDefault="00634407" w:rsidP="00DE78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10</w:t>
            </w:r>
            <w:r w:rsidR="006A5C07" w:rsidRPr="00DE52CC">
              <w:rPr>
                <w:rFonts w:eastAsia="Times New Roman" w:cstheme="minorHAnsi"/>
                <w:color w:val="000000"/>
                <w:lang w:eastAsia="en-GB"/>
              </w:rPr>
              <w:t>.0%</w:t>
            </w:r>
          </w:p>
        </w:tc>
      </w:tr>
      <w:tr w:rsidR="006A5C07" w:rsidRPr="00DE52CC" w14:paraId="445B1B50" w14:textId="77777777" w:rsidTr="00DE786C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EE57" w14:textId="77777777" w:rsidR="006A5C07" w:rsidRPr="00DE52CC" w:rsidRDefault="006A5C07" w:rsidP="00DE786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North West London and South Central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4D28" w14:textId="77777777" w:rsidR="006A5C07" w:rsidRPr="00DE52CC" w:rsidRDefault="006A5C07" w:rsidP="00DE78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D14C" w14:textId="77777777" w:rsidR="006A5C07" w:rsidRPr="00DE52CC" w:rsidRDefault="006A5C07" w:rsidP="00DE78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1.2%</w:t>
            </w:r>
          </w:p>
        </w:tc>
      </w:tr>
      <w:tr w:rsidR="006A5C07" w:rsidRPr="00DE52CC" w14:paraId="31CF2AEB" w14:textId="77777777" w:rsidTr="00DE786C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A992" w14:textId="77777777" w:rsidR="006A5C07" w:rsidRPr="00DE52CC" w:rsidRDefault="006A5C07" w:rsidP="00DE786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South East and South London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3A41" w14:textId="77777777" w:rsidR="006A5C07" w:rsidRPr="00DE52CC" w:rsidRDefault="006A5C07" w:rsidP="00DE78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9EF7" w14:textId="77777777" w:rsidR="006A5C07" w:rsidRPr="00DE52CC" w:rsidRDefault="006A5C07" w:rsidP="00DE78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0.0%</w:t>
            </w:r>
          </w:p>
        </w:tc>
      </w:tr>
      <w:tr w:rsidR="006A5C07" w:rsidRPr="00DE52CC" w14:paraId="15456E80" w14:textId="77777777" w:rsidTr="00DE786C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5442" w14:textId="77777777" w:rsidR="006A5C07" w:rsidRPr="00DE52CC" w:rsidRDefault="006A5C07" w:rsidP="00DE786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South West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4E7C" w14:textId="5295A46A" w:rsidR="006A5C07" w:rsidRPr="00DE52CC" w:rsidRDefault="002E5E2D" w:rsidP="00DE78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8ABF" w14:textId="5C3697F8" w:rsidR="006A5C07" w:rsidRPr="00DE52CC" w:rsidRDefault="00634407" w:rsidP="00DE78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25</w:t>
            </w:r>
            <w:r w:rsidR="006A5C07" w:rsidRPr="00DE52CC">
              <w:rPr>
                <w:rFonts w:eastAsia="Times New Roman" w:cstheme="minorHAnsi"/>
                <w:color w:val="000000"/>
                <w:lang w:eastAsia="en-GB"/>
              </w:rPr>
              <w:t>.</w:t>
            </w:r>
            <w:r w:rsidRPr="00DE52CC">
              <w:rPr>
                <w:rFonts w:eastAsia="Times New Roman" w:cstheme="minorHAnsi"/>
                <w:color w:val="000000"/>
                <w:lang w:eastAsia="en-GB"/>
              </w:rPr>
              <w:t>0</w:t>
            </w:r>
            <w:r w:rsidR="006A5C07" w:rsidRPr="00DE52CC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6A5C07" w:rsidRPr="00DE52CC" w14:paraId="30A99142" w14:textId="77777777" w:rsidTr="00DE786C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D5F2" w14:textId="77777777" w:rsidR="006A5C07" w:rsidRPr="00DE52CC" w:rsidRDefault="006A5C07" w:rsidP="00DE786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West Midlands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6B03" w14:textId="77777777" w:rsidR="006A5C07" w:rsidRPr="00DE52CC" w:rsidRDefault="006A5C07" w:rsidP="00DE78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15DD" w14:textId="48DFC912" w:rsidR="006A5C07" w:rsidRPr="00DE52CC" w:rsidRDefault="006A5C07" w:rsidP="00DE78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8.</w:t>
            </w:r>
            <w:r w:rsidR="00634407" w:rsidRPr="00DE52CC">
              <w:rPr>
                <w:rFonts w:eastAsia="Times New Roman" w:cstheme="minorHAnsi"/>
                <w:color w:val="000000"/>
                <w:lang w:eastAsia="en-GB"/>
              </w:rPr>
              <w:t>3</w:t>
            </w:r>
            <w:r w:rsidRPr="00DE52CC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6A5C07" w:rsidRPr="00DE52CC" w14:paraId="136DDC15" w14:textId="77777777" w:rsidTr="00DE786C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5FE0" w14:textId="4125B760" w:rsidR="006A5C07" w:rsidRPr="00DE52CC" w:rsidRDefault="006A5C07" w:rsidP="00DE78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F87A" w14:textId="51D15118" w:rsidR="006A5C07" w:rsidRPr="00DE52CC" w:rsidRDefault="002E5E2D" w:rsidP="00DE786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53F0" w14:textId="0F5F5C54" w:rsidR="006A5C07" w:rsidRPr="00DE52CC" w:rsidRDefault="00634407" w:rsidP="00DE786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4</w:t>
            </w:r>
            <w:r w:rsidR="006A5C07"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8</w:t>
            </w:r>
            <w:r w:rsidR="006A5C07"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%</w:t>
            </w:r>
          </w:p>
        </w:tc>
      </w:tr>
    </w:tbl>
    <w:p w14:paraId="3A25C5FE" w14:textId="77777777" w:rsidR="00C6233C" w:rsidRPr="00DE52CC" w:rsidRDefault="00DE786C" w:rsidP="00B60D36">
      <w:pPr>
        <w:rPr>
          <w:rFonts w:cstheme="minorHAnsi"/>
        </w:rPr>
      </w:pPr>
      <w:r w:rsidRPr="00DE52CC">
        <w:rPr>
          <w:rFonts w:cstheme="minorHAnsi"/>
        </w:rPr>
        <w:br w:type="textWrapping" w:clear="all"/>
      </w:r>
      <w:r w:rsidR="00070F73" w:rsidRPr="00DE52CC">
        <w:rPr>
          <w:rFonts w:cstheme="minorHAnsi"/>
        </w:rPr>
        <w:t>Source</w:t>
      </w:r>
      <w:r w:rsidR="00C6233C" w:rsidRPr="00DE52CC">
        <w:rPr>
          <w:rFonts w:cstheme="minorHAnsi"/>
        </w:rPr>
        <w:t>s</w:t>
      </w:r>
      <w:r w:rsidR="00070F73" w:rsidRPr="00DE52CC">
        <w:rPr>
          <w:rFonts w:cstheme="minorHAnsi"/>
        </w:rPr>
        <w:t xml:space="preserve">: </w:t>
      </w:r>
    </w:p>
    <w:p w14:paraId="33828589" w14:textId="713841E2" w:rsidR="00F730E9" w:rsidRPr="00DE52CC" w:rsidRDefault="00C6233C" w:rsidP="00B60D36">
      <w:pPr>
        <w:rPr>
          <w:rFonts w:cstheme="minorHAnsi"/>
        </w:rPr>
      </w:pPr>
      <w:r w:rsidRPr="00DE52CC">
        <w:rPr>
          <w:rFonts w:cstheme="minorHAnsi"/>
        </w:rPr>
        <w:t xml:space="preserve">Ofsted Data: </w:t>
      </w:r>
      <w:hyperlink r:id="rId11" w:history="1">
        <w:r w:rsidRPr="00DE52CC">
          <w:rPr>
            <w:rStyle w:val="Hyperlink"/>
            <w:rFonts w:cstheme="minorHAnsi"/>
          </w:rPr>
          <w:t>https://www.gov.uk/government/statistics/state-funded-schools-inspections-and-outcomes-as-at-31-august-2019</w:t>
        </w:r>
      </w:hyperlink>
      <w:r w:rsidR="00070F73" w:rsidRPr="00DE52CC">
        <w:rPr>
          <w:rFonts w:cstheme="minorHAnsi"/>
        </w:rPr>
        <w:t xml:space="preserve"> </w:t>
      </w:r>
    </w:p>
    <w:p w14:paraId="23DAB9FE" w14:textId="323422E7" w:rsidR="00070F73" w:rsidRPr="00DE52CC" w:rsidRDefault="00C6233C" w:rsidP="00B60D36">
      <w:pPr>
        <w:rPr>
          <w:rFonts w:cstheme="minorHAnsi"/>
        </w:rPr>
      </w:pPr>
      <w:r w:rsidRPr="00DE52CC">
        <w:rPr>
          <w:rFonts w:cstheme="minorHAnsi"/>
        </w:rPr>
        <w:t>RSC Region: https://ea-edubase-api-prod.azurewebsites.net/edubase/downloads/public/edubasealldata20200513.csv</w:t>
      </w:r>
    </w:p>
    <w:p w14:paraId="73A7D06D" w14:textId="628CE0AF" w:rsidR="006505DF" w:rsidRPr="00DE52CC" w:rsidRDefault="006505DF" w:rsidP="00B60D36">
      <w:pPr>
        <w:rPr>
          <w:rFonts w:cstheme="minorHAnsi"/>
        </w:rPr>
      </w:pPr>
      <w:r w:rsidRPr="00DE52CC">
        <w:rPr>
          <w:rFonts w:cstheme="minorHAnsi"/>
        </w:rPr>
        <w:lastRenderedPageBreak/>
        <w:t>KPI 1a) iii) Numbe</w:t>
      </w:r>
      <w:r w:rsidR="007D2508" w:rsidRPr="00DE52CC">
        <w:rPr>
          <w:rFonts w:cstheme="minorHAnsi"/>
        </w:rPr>
        <w:t>r (%)</w:t>
      </w:r>
      <w:r w:rsidRPr="00DE52CC">
        <w:rPr>
          <w:rFonts w:cstheme="minorHAnsi"/>
        </w:rPr>
        <w:t xml:space="preserve"> of Inadequate</w:t>
      </w:r>
      <w:r w:rsidR="00070F73" w:rsidRPr="00DE52CC">
        <w:rPr>
          <w:rFonts w:cstheme="minorHAnsi"/>
        </w:rPr>
        <w:t xml:space="preserve"> inspected</w:t>
      </w:r>
      <w:r w:rsidRPr="00DE52CC">
        <w:rPr>
          <w:rFonts w:cstheme="minorHAnsi"/>
        </w:rPr>
        <w:t xml:space="preserve"> University Technical Colleges</w:t>
      </w:r>
      <w:r w:rsidR="00DE52CC" w:rsidRPr="00DE52CC">
        <w:rPr>
          <w:rFonts w:cstheme="minorHAnsi"/>
        </w:rPr>
        <w:t>,</w:t>
      </w:r>
      <w:r w:rsidR="00634407" w:rsidRPr="00DE52CC">
        <w:rPr>
          <w:rFonts w:cstheme="minorHAnsi"/>
        </w:rPr>
        <w:t xml:space="preserve"> under their current URN</w:t>
      </w:r>
    </w:p>
    <w:tbl>
      <w:tblPr>
        <w:tblW w:w="6516" w:type="dxa"/>
        <w:tblLook w:val="04A0" w:firstRow="1" w:lastRow="0" w:firstColumn="1" w:lastColumn="0" w:noHBand="0" w:noVBand="1"/>
      </w:tblPr>
      <w:tblGrid>
        <w:gridCol w:w="3720"/>
        <w:gridCol w:w="1262"/>
        <w:gridCol w:w="1534"/>
      </w:tblGrid>
      <w:tr w:rsidR="006A5C07" w:rsidRPr="00DE52CC" w14:paraId="1FFD0C15" w14:textId="77777777" w:rsidTr="006A5C07">
        <w:trPr>
          <w:trHeight w:val="28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A755152" w14:textId="21DCCAA2" w:rsidR="006A5C07" w:rsidRPr="00DE52CC" w:rsidRDefault="00DE786C" w:rsidP="006A5C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RSC Region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1BD8CA8" w14:textId="77777777" w:rsidR="006A5C07" w:rsidRPr="00DE52CC" w:rsidRDefault="006A5C07" w:rsidP="006A5C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Inadequate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C9E904" w14:textId="77777777" w:rsidR="006A5C07" w:rsidRPr="00DE52CC" w:rsidRDefault="006A5C07" w:rsidP="006A5C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% Inadequate</w:t>
            </w:r>
          </w:p>
        </w:tc>
      </w:tr>
      <w:tr w:rsidR="00DE786C" w:rsidRPr="00DE52CC" w14:paraId="30F19F97" w14:textId="77777777" w:rsidTr="006A5C07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4ADE1" w14:textId="7C8ECBCC" w:rsidR="00DE786C" w:rsidRPr="00DE52CC" w:rsidRDefault="00DE786C" w:rsidP="006A5C0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East Midlands and Humber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8028" w14:textId="409114F0" w:rsidR="00DE786C" w:rsidRPr="00DE52CC" w:rsidRDefault="00634407" w:rsidP="006A5C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5C30" w14:textId="5CB33151" w:rsidR="00DE786C" w:rsidRPr="00DE52CC" w:rsidRDefault="00634407" w:rsidP="006A5C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20</w:t>
            </w:r>
            <w:r w:rsidR="00DE786C" w:rsidRPr="00DE52CC">
              <w:rPr>
                <w:rFonts w:eastAsia="Times New Roman" w:cstheme="minorHAnsi"/>
                <w:color w:val="000000"/>
                <w:lang w:eastAsia="en-GB"/>
              </w:rPr>
              <w:t>.0%</w:t>
            </w:r>
          </w:p>
        </w:tc>
      </w:tr>
      <w:tr w:rsidR="006A5C07" w:rsidRPr="00DE52CC" w14:paraId="11322FC9" w14:textId="77777777" w:rsidTr="006A5C07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3BFF" w14:textId="77777777" w:rsidR="006A5C07" w:rsidRPr="00DE52CC" w:rsidRDefault="006A5C07" w:rsidP="006A5C0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East of England and North East London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9295" w14:textId="77777777" w:rsidR="006A5C07" w:rsidRPr="00DE52CC" w:rsidRDefault="006A5C07" w:rsidP="006A5C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3C04" w14:textId="5F38B3CA" w:rsidR="006A5C07" w:rsidRPr="00DE52CC" w:rsidRDefault="006A5C07" w:rsidP="006A5C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0</w:t>
            </w:r>
            <w:r w:rsidR="00DE786C" w:rsidRPr="00DE52CC">
              <w:rPr>
                <w:rFonts w:eastAsia="Times New Roman" w:cstheme="minorHAnsi"/>
                <w:color w:val="000000"/>
                <w:lang w:eastAsia="en-GB"/>
              </w:rPr>
              <w:t>.0%</w:t>
            </w:r>
          </w:p>
        </w:tc>
      </w:tr>
      <w:tr w:rsidR="006A5C07" w:rsidRPr="00DE52CC" w14:paraId="1CA302A0" w14:textId="77777777" w:rsidTr="006A5C07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ECB0" w14:textId="77777777" w:rsidR="006A5C07" w:rsidRPr="00DE52CC" w:rsidRDefault="006A5C07" w:rsidP="006A5C0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Lancashire and West Yorkshire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FE64" w14:textId="77777777" w:rsidR="006A5C07" w:rsidRPr="00DE52CC" w:rsidRDefault="006A5C07" w:rsidP="006A5C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3617" w14:textId="3186C9D3" w:rsidR="006A5C07" w:rsidRPr="00DE52CC" w:rsidRDefault="006A5C07" w:rsidP="006A5C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0</w:t>
            </w:r>
            <w:r w:rsidR="00DE786C" w:rsidRPr="00DE52CC">
              <w:rPr>
                <w:rFonts w:eastAsia="Times New Roman" w:cstheme="minorHAnsi"/>
                <w:color w:val="000000"/>
                <w:lang w:eastAsia="en-GB"/>
              </w:rPr>
              <w:t>.0%</w:t>
            </w:r>
          </w:p>
        </w:tc>
      </w:tr>
      <w:tr w:rsidR="006A5C07" w:rsidRPr="00DE52CC" w14:paraId="10EE3204" w14:textId="77777777" w:rsidTr="006A5C07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67C0" w14:textId="77777777" w:rsidR="006A5C07" w:rsidRPr="00DE52CC" w:rsidRDefault="006A5C07" w:rsidP="006A5C0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North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105C" w14:textId="77777777" w:rsidR="006A5C07" w:rsidRPr="00DE52CC" w:rsidRDefault="006A5C07" w:rsidP="006A5C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6A92" w14:textId="62A227AE" w:rsidR="006A5C07" w:rsidRPr="00DE52CC" w:rsidRDefault="006A5C07" w:rsidP="006A5C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0</w:t>
            </w:r>
            <w:r w:rsidR="00DE786C" w:rsidRPr="00DE52CC">
              <w:rPr>
                <w:rFonts w:eastAsia="Times New Roman" w:cstheme="minorHAnsi"/>
                <w:color w:val="000000"/>
                <w:lang w:eastAsia="en-GB"/>
              </w:rPr>
              <w:t>.0%</w:t>
            </w:r>
          </w:p>
        </w:tc>
      </w:tr>
      <w:tr w:rsidR="006A5C07" w:rsidRPr="00DE52CC" w14:paraId="30D88CE3" w14:textId="77777777" w:rsidTr="006A5C07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882A" w14:textId="77777777" w:rsidR="006A5C07" w:rsidRPr="00DE52CC" w:rsidRDefault="006A5C07" w:rsidP="006A5C0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North West London and South Central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7C63" w14:textId="77777777" w:rsidR="006A5C07" w:rsidRPr="00DE52CC" w:rsidRDefault="006A5C07" w:rsidP="006A5C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C698" w14:textId="3F425D22" w:rsidR="006A5C07" w:rsidRPr="00DE52CC" w:rsidRDefault="006A5C07" w:rsidP="006A5C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0</w:t>
            </w:r>
            <w:r w:rsidR="00DE786C" w:rsidRPr="00DE52CC">
              <w:rPr>
                <w:rFonts w:eastAsia="Times New Roman" w:cstheme="minorHAnsi"/>
                <w:color w:val="000000"/>
                <w:lang w:eastAsia="en-GB"/>
              </w:rPr>
              <w:t>.0%</w:t>
            </w:r>
          </w:p>
        </w:tc>
      </w:tr>
      <w:tr w:rsidR="006A5C07" w:rsidRPr="00DE52CC" w14:paraId="33D7BD3E" w14:textId="77777777" w:rsidTr="006A5C07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A7DE" w14:textId="77777777" w:rsidR="006A5C07" w:rsidRPr="00DE52CC" w:rsidRDefault="006A5C07" w:rsidP="006A5C0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South East and South London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F3D3" w14:textId="76766873" w:rsidR="006A5C07" w:rsidRPr="00DE52CC" w:rsidRDefault="00634407" w:rsidP="006A5C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A904" w14:textId="55C2A524" w:rsidR="006A5C07" w:rsidRPr="00DE52CC" w:rsidRDefault="00634407" w:rsidP="006A5C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33</w:t>
            </w:r>
            <w:r w:rsidR="00DE786C" w:rsidRPr="00DE52CC">
              <w:rPr>
                <w:rFonts w:eastAsia="Times New Roman" w:cstheme="minorHAnsi"/>
                <w:color w:val="000000"/>
                <w:lang w:eastAsia="en-GB"/>
              </w:rPr>
              <w:t>.</w:t>
            </w:r>
            <w:r w:rsidRPr="00DE52CC">
              <w:rPr>
                <w:rFonts w:eastAsia="Times New Roman" w:cstheme="minorHAnsi"/>
                <w:color w:val="000000"/>
                <w:lang w:eastAsia="en-GB"/>
              </w:rPr>
              <w:t>3</w:t>
            </w:r>
            <w:r w:rsidR="00DE786C" w:rsidRPr="00DE52CC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6A5C07" w:rsidRPr="00DE52CC" w14:paraId="29A25CB9" w14:textId="77777777" w:rsidTr="006A5C07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D59A" w14:textId="77777777" w:rsidR="006A5C07" w:rsidRPr="00DE52CC" w:rsidRDefault="006A5C07" w:rsidP="006A5C0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South West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6C3B" w14:textId="77777777" w:rsidR="006A5C07" w:rsidRPr="00DE52CC" w:rsidRDefault="006A5C07" w:rsidP="006A5C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F3DE" w14:textId="77777777" w:rsidR="006A5C07" w:rsidRPr="00DE52CC" w:rsidRDefault="006A5C07" w:rsidP="006A5C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33.3%</w:t>
            </w:r>
          </w:p>
        </w:tc>
      </w:tr>
      <w:tr w:rsidR="006A5C07" w:rsidRPr="00DE52CC" w14:paraId="135C0694" w14:textId="77777777" w:rsidTr="006A5C07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ED36" w14:textId="77777777" w:rsidR="006A5C07" w:rsidRPr="00DE52CC" w:rsidRDefault="006A5C07" w:rsidP="006A5C0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West Midlands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1FD0" w14:textId="77777777" w:rsidR="006A5C07" w:rsidRPr="00DE52CC" w:rsidRDefault="006A5C07" w:rsidP="006A5C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3752" w14:textId="734CFB18" w:rsidR="006A5C07" w:rsidRPr="00DE52CC" w:rsidRDefault="00634407" w:rsidP="006A5C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14</w:t>
            </w:r>
            <w:r w:rsidR="006A5C07" w:rsidRPr="00DE52CC">
              <w:rPr>
                <w:rFonts w:eastAsia="Times New Roman" w:cstheme="minorHAnsi"/>
                <w:color w:val="000000"/>
                <w:lang w:eastAsia="en-GB"/>
              </w:rPr>
              <w:t>.3%</w:t>
            </w:r>
          </w:p>
        </w:tc>
      </w:tr>
      <w:tr w:rsidR="006A5C07" w:rsidRPr="00DE52CC" w14:paraId="6BCE09B0" w14:textId="77777777" w:rsidTr="006A5C07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21AC" w14:textId="77777777" w:rsidR="006A5C07" w:rsidRPr="00DE52CC" w:rsidRDefault="006A5C07" w:rsidP="006A5C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AF62" w14:textId="7828407F" w:rsidR="006A5C07" w:rsidRPr="00DE52CC" w:rsidRDefault="00634407" w:rsidP="006A5C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0BA8" w14:textId="22563BC8" w:rsidR="006A5C07" w:rsidRPr="00DE52CC" w:rsidRDefault="00634407" w:rsidP="006A5C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10</w:t>
            </w:r>
            <w:r w:rsidR="006A5C07"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5</w:t>
            </w:r>
            <w:r w:rsidR="006A5C07"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%</w:t>
            </w:r>
          </w:p>
        </w:tc>
      </w:tr>
    </w:tbl>
    <w:p w14:paraId="3012615A" w14:textId="77777777" w:rsidR="00C6233C" w:rsidRPr="00DE52CC" w:rsidRDefault="00070F73" w:rsidP="00B60D36">
      <w:pPr>
        <w:rPr>
          <w:rFonts w:cstheme="minorHAnsi"/>
        </w:rPr>
      </w:pPr>
      <w:r w:rsidRPr="00DE52CC">
        <w:rPr>
          <w:rFonts w:cstheme="minorHAnsi"/>
        </w:rPr>
        <w:t>Source</w:t>
      </w:r>
      <w:r w:rsidR="00C6233C" w:rsidRPr="00DE52CC">
        <w:rPr>
          <w:rFonts w:cstheme="minorHAnsi"/>
        </w:rPr>
        <w:t>s</w:t>
      </w:r>
      <w:r w:rsidRPr="00DE52CC">
        <w:rPr>
          <w:rFonts w:cstheme="minorHAnsi"/>
        </w:rPr>
        <w:t xml:space="preserve">: </w:t>
      </w:r>
    </w:p>
    <w:p w14:paraId="71308234" w14:textId="64169D25" w:rsidR="006505DF" w:rsidRPr="00DE52CC" w:rsidRDefault="00C6233C" w:rsidP="00B60D36">
      <w:pPr>
        <w:rPr>
          <w:rFonts w:cstheme="minorHAnsi"/>
        </w:rPr>
      </w:pPr>
      <w:r w:rsidRPr="00DE52CC">
        <w:rPr>
          <w:rFonts w:cstheme="minorHAnsi"/>
        </w:rPr>
        <w:t xml:space="preserve">Ofsted Data: </w:t>
      </w:r>
      <w:hyperlink r:id="rId12" w:history="1">
        <w:r w:rsidRPr="00DE52CC">
          <w:rPr>
            <w:rStyle w:val="Hyperlink"/>
            <w:rFonts w:cstheme="minorHAnsi"/>
          </w:rPr>
          <w:t>https://www.gov.uk/government/statistics/state-funded-schools-inspections-and-outcomes-as-at-31-august-2019</w:t>
        </w:r>
      </w:hyperlink>
      <w:r w:rsidR="00070F73" w:rsidRPr="00DE52CC">
        <w:rPr>
          <w:rFonts w:cstheme="minorHAnsi"/>
        </w:rPr>
        <w:t xml:space="preserve"> </w:t>
      </w:r>
    </w:p>
    <w:p w14:paraId="0F1C2D5E" w14:textId="153DA5D1" w:rsidR="00C6233C" w:rsidRPr="00DE52CC" w:rsidRDefault="00C6233C" w:rsidP="00B60D36">
      <w:pPr>
        <w:rPr>
          <w:rFonts w:cstheme="minorHAnsi"/>
        </w:rPr>
      </w:pPr>
      <w:r w:rsidRPr="00DE52CC">
        <w:rPr>
          <w:rFonts w:cstheme="minorHAnsi"/>
        </w:rPr>
        <w:t>RSC Region: https://ea-edubase-api-prod.azurewebsites.net/edubase/downloads/public/edubasealldata20200513.csv</w:t>
      </w:r>
    </w:p>
    <w:p w14:paraId="5AE55BBB" w14:textId="77777777" w:rsidR="00070F73" w:rsidRPr="00DE52CC" w:rsidRDefault="00070F73" w:rsidP="00B60D36">
      <w:pPr>
        <w:rPr>
          <w:rFonts w:cstheme="minorHAnsi"/>
        </w:rPr>
      </w:pPr>
    </w:p>
    <w:p w14:paraId="008C3AF4" w14:textId="2037CDF9" w:rsidR="00B60D36" w:rsidRPr="00DE52CC" w:rsidRDefault="00B60D36" w:rsidP="00B60D36">
      <w:pPr>
        <w:rPr>
          <w:rFonts w:cstheme="minorHAnsi"/>
        </w:rPr>
      </w:pPr>
      <w:r w:rsidRPr="00DE52CC">
        <w:rPr>
          <w:rFonts w:cstheme="minorHAnsi"/>
        </w:rPr>
        <w:t>KPI 1</w:t>
      </w:r>
      <w:r w:rsidR="006A5C07" w:rsidRPr="00DE52CC">
        <w:rPr>
          <w:rFonts w:cstheme="minorHAnsi"/>
        </w:rPr>
        <w:t>b</w:t>
      </w:r>
      <w:r w:rsidRPr="00DE52CC">
        <w:rPr>
          <w:rFonts w:cstheme="minorHAnsi"/>
        </w:rPr>
        <w:t xml:space="preserve">) </w:t>
      </w:r>
      <w:r w:rsidR="007D2508" w:rsidRPr="00DE52CC">
        <w:rPr>
          <w:rFonts w:cstheme="minorHAnsi"/>
        </w:rPr>
        <w:t xml:space="preserve">Number (%) of previous inadequate LA maintained schools becoming good or outstanding </w:t>
      </w:r>
      <w:r w:rsidR="00070F73" w:rsidRPr="00DE52CC">
        <w:rPr>
          <w:rFonts w:cstheme="minorHAnsi"/>
        </w:rPr>
        <w:t xml:space="preserve">inspected </w:t>
      </w:r>
      <w:r w:rsidR="007D2508" w:rsidRPr="00DE52CC">
        <w:rPr>
          <w:rFonts w:cstheme="minorHAnsi"/>
        </w:rPr>
        <w:t>sponsored academies</w:t>
      </w:r>
    </w:p>
    <w:tbl>
      <w:tblPr>
        <w:tblW w:w="7428" w:type="dxa"/>
        <w:tblLook w:val="04A0" w:firstRow="1" w:lastRow="0" w:firstColumn="1" w:lastColumn="0" w:noHBand="0" w:noVBand="1"/>
      </w:tblPr>
      <w:tblGrid>
        <w:gridCol w:w="3560"/>
        <w:gridCol w:w="1934"/>
        <w:gridCol w:w="1934"/>
      </w:tblGrid>
      <w:tr w:rsidR="00A245AA" w:rsidRPr="00DE52CC" w14:paraId="3F73679C" w14:textId="77777777" w:rsidTr="00070F73">
        <w:trPr>
          <w:trHeight w:val="28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0823671" w14:textId="77777777" w:rsidR="00A245AA" w:rsidRPr="00DE52CC" w:rsidRDefault="00A245AA" w:rsidP="00A245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RSC Region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E6F6F5A" w14:textId="05DA7B79" w:rsidR="00A245AA" w:rsidRPr="00DE52CC" w:rsidRDefault="00A245AA" w:rsidP="00A245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Number</w:t>
            </w:r>
            <w:r w:rsidR="00DE786C"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becoming </w:t>
            </w: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Good/Outstanding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40FDBE4" w14:textId="33AD8590" w:rsidR="00A245AA" w:rsidRPr="00DE52CC" w:rsidRDefault="00A245AA" w:rsidP="00A245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% </w:t>
            </w:r>
            <w:r w:rsidR="00DE786C"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becoming </w:t>
            </w: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Good/Outstanding</w:t>
            </w:r>
          </w:p>
        </w:tc>
      </w:tr>
      <w:tr w:rsidR="00A245AA" w:rsidRPr="00DE52CC" w14:paraId="078AFD56" w14:textId="77777777" w:rsidTr="00070F73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A4D6" w14:textId="77777777" w:rsidR="00A245AA" w:rsidRPr="00DE52CC" w:rsidRDefault="00A245AA" w:rsidP="00A245A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East Midlands and Humber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856D" w14:textId="08ECF925" w:rsidR="00A245AA" w:rsidRPr="00DE52CC" w:rsidRDefault="00A245AA" w:rsidP="00A245A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5</w:t>
            </w:r>
            <w:r w:rsidR="00294CAA" w:rsidRPr="00DE52CC">
              <w:rPr>
                <w:rFonts w:eastAsia="Times New Roman" w:cstheme="minorHAnsi"/>
                <w:color w:val="000000"/>
                <w:lang w:eastAsia="en-GB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7EB8" w14:textId="13C341B5" w:rsidR="00A245AA" w:rsidRPr="00DE52CC" w:rsidRDefault="00294CAA" w:rsidP="00A245A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72</w:t>
            </w:r>
            <w:r w:rsidR="00A245AA" w:rsidRPr="00DE52CC">
              <w:rPr>
                <w:rFonts w:eastAsia="Times New Roman" w:cstheme="minorHAnsi"/>
                <w:color w:val="000000"/>
                <w:lang w:eastAsia="en-GB"/>
              </w:rPr>
              <w:t>.</w:t>
            </w:r>
            <w:r w:rsidRPr="00DE52CC">
              <w:rPr>
                <w:rFonts w:eastAsia="Times New Roman" w:cstheme="minorHAnsi"/>
                <w:color w:val="000000"/>
                <w:lang w:eastAsia="en-GB"/>
              </w:rPr>
              <w:t>4</w:t>
            </w:r>
            <w:r w:rsidR="00A245AA" w:rsidRPr="00DE52CC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245AA" w:rsidRPr="00DE52CC" w14:paraId="7068F9B6" w14:textId="77777777" w:rsidTr="00070F73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9153" w14:textId="77777777" w:rsidR="00A245AA" w:rsidRPr="00DE52CC" w:rsidRDefault="00A245AA" w:rsidP="00A245A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East of England and North East London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0921" w14:textId="3029FE16" w:rsidR="00A245AA" w:rsidRPr="00DE52CC" w:rsidRDefault="00294CAA" w:rsidP="00A245A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89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E0BA" w14:textId="0B52C2CF" w:rsidR="00A245AA" w:rsidRPr="00DE52CC" w:rsidRDefault="00A245AA" w:rsidP="00A245A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72.</w:t>
            </w:r>
            <w:r w:rsidR="00294CAA" w:rsidRPr="00DE52CC">
              <w:rPr>
                <w:rFonts w:eastAsia="Times New Roman" w:cstheme="minorHAnsi"/>
                <w:color w:val="000000"/>
                <w:lang w:eastAsia="en-GB"/>
              </w:rPr>
              <w:t>4</w:t>
            </w:r>
            <w:r w:rsidRPr="00DE52CC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245AA" w:rsidRPr="00DE52CC" w14:paraId="637DD960" w14:textId="77777777" w:rsidTr="00070F73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B986" w14:textId="77777777" w:rsidR="00A245AA" w:rsidRPr="00DE52CC" w:rsidRDefault="00A245AA" w:rsidP="00A245A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Lancashire and West Yorkshire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0DA3" w14:textId="2637FC62" w:rsidR="00A245AA" w:rsidRPr="00DE52CC" w:rsidRDefault="00A245AA" w:rsidP="00A245A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4</w:t>
            </w:r>
            <w:r w:rsidR="00294CAA" w:rsidRPr="00DE52CC"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1CC1" w14:textId="5629DC50" w:rsidR="00A245AA" w:rsidRPr="00DE52CC" w:rsidRDefault="00A245AA" w:rsidP="00A245A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6</w:t>
            </w:r>
            <w:r w:rsidR="00294CAA" w:rsidRPr="00DE52CC">
              <w:rPr>
                <w:rFonts w:eastAsia="Times New Roman" w:cstheme="minorHAnsi"/>
                <w:color w:val="000000"/>
                <w:lang w:eastAsia="en-GB"/>
              </w:rPr>
              <w:t>4.5</w:t>
            </w:r>
            <w:r w:rsidRPr="00DE52CC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245AA" w:rsidRPr="00DE52CC" w14:paraId="20EEF1D1" w14:textId="77777777" w:rsidTr="00070F73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19BB" w14:textId="77777777" w:rsidR="00A245AA" w:rsidRPr="00DE52CC" w:rsidRDefault="00A245AA" w:rsidP="00A245A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North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FD50" w14:textId="77777777" w:rsidR="00A245AA" w:rsidRPr="00DE52CC" w:rsidRDefault="00A245AA" w:rsidP="00A245A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D2EF" w14:textId="77777777" w:rsidR="00A245AA" w:rsidRPr="00DE52CC" w:rsidRDefault="00A245AA" w:rsidP="00A245A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53.8%</w:t>
            </w:r>
          </w:p>
        </w:tc>
      </w:tr>
      <w:tr w:rsidR="00A245AA" w:rsidRPr="00DE52CC" w14:paraId="063A7B78" w14:textId="77777777" w:rsidTr="00070F73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B459" w14:textId="77777777" w:rsidR="00A245AA" w:rsidRPr="00DE52CC" w:rsidRDefault="00A245AA" w:rsidP="00A245A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North West London and South Central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7082" w14:textId="77777777" w:rsidR="00A245AA" w:rsidRPr="00DE52CC" w:rsidRDefault="00A245AA" w:rsidP="00A245A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35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EB37" w14:textId="77777777" w:rsidR="00A245AA" w:rsidRPr="00DE52CC" w:rsidRDefault="00A245AA" w:rsidP="00A245A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67.3%</w:t>
            </w:r>
          </w:p>
        </w:tc>
      </w:tr>
      <w:tr w:rsidR="00A245AA" w:rsidRPr="00DE52CC" w14:paraId="4A11F705" w14:textId="77777777" w:rsidTr="00070F73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5FF2" w14:textId="77777777" w:rsidR="00A245AA" w:rsidRPr="00DE52CC" w:rsidRDefault="00A245AA" w:rsidP="00A245A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South East and South London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86FA" w14:textId="648F6C11" w:rsidR="00A245AA" w:rsidRPr="00DE52CC" w:rsidRDefault="00A245AA" w:rsidP="00A245A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8</w:t>
            </w:r>
            <w:r w:rsidR="00294CAA" w:rsidRPr="00DE52CC"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0A46" w14:textId="58CC60DA" w:rsidR="00A245AA" w:rsidRPr="00DE52CC" w:rsidRDefault="00A245AA" w:rsidP="00A245A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82.</w:t>
            </w:r>
            <w:r w:rsidR="00294CAA" w:rsidRPr="00DE52CC">
              <w:rPr>
                <w:rFonts w:eastAsia="Times New Roman" w:cstheme="minorHAnsi"/>
                <w:color w:val="000000"/>
                <w:lang w:eastAsia="en-GB"/>
              </w:rPr>
              <w:t>5</w:t>
            </w:r>
            <w:r w:rsidRPr="00DE52CC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245AA" w:rsidRPr="00DE52CC" w14:paraId="509255F6" w14:textId="77777777" w:rsidTr="00070F73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619F" w14:textId="77777777" w:rsidR="00A245AA" w:rsidRPr="00DE52CC" w:rsidRDefault="00A245AA" w:rsidP="00A245A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South West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CC55" w14:textId="510BC4D4" w:rsidR="00A245AA" w:rsidRPr="00DE52CC" w:rsidRDefault="00294CAA" w:rsidP="00A245A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37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9BDE" w14:textId="60BAEFF6" w:rsidR="00A245AA" w:rsidRPr="00DE52CC" w:rsidRDefault="00294CAA" w:rsidP="00A245A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59.7</w:t>
            </w:r>
            <w:r w:rsidR="00A245AA" w:rsidRPr="00DE52CC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245AA" w:rsidRPr="00DE52CC" w14:paraId="56C4D2E2" w14:textId="77777777" w:rsidTr="00070F73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8EB1" w14:textId="77777777" w:rsidR="00A245AA" w:rsidRPr="00DE52CC" w:rsidRDefault="00A245AA" w:rsidP="00A245A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West Midlands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EB5A" w14:textId="2779DE96" w:rsidR="00A245AA" w:rsidRPr="00DE52CC" w:rsidRDefault="00A245AA" w:rsidP="00A245A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6</w:t>
            </w:r>
            <w:r w:rsidR="00294CAA" w:rsidRPr="00DE52CC">
              <w:rPr>
                <w:rFonts w:eastAsia="Times New Roman" w:cstheme="minorHAnsi"/>
                <w:color w:val="000000"/>
                <w:lang w:eastAsia="en-GB"/>
              </w:rPr>
              <w:t>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A75F" w14:textId="23B4E2DC" w:rsidR="00A245AA" w:rsidRPr="00DE52CC" w:rsidRDefault="00A245AA" w:rsidP="00A245A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78.</w:t>
            </w:r>
            <w:r w:rsidR="00294CAA" w:rsidRPr="00DE52CC">
              <w:rPr>
                <w:rFonts w:eastAsia="Times New Roman" w:cstheme="minorHAnsi"/>
                <w:color w:val="000000"/>
                <w:lang w:eastAsia="en-GB"/>
              </w:rPr>
              <w:t>6</w:t>
            </w:r>
            <w:r w:rsidRPr="00DE52CC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245AA" w:rsidRPr="00DE52CC" w14:paraId="78063B84" w14:textId="77777777" w:rsidTr="00070F73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0D1B" w14:textId="2B94042D" w:rsidR="00A245AA" w:rsidRPr="00DE52CC" w:rsidRDefault="00A245AA" w:rsidP="00A245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98F5" w14:textId="146762CD" w:rsidR="00A245AA" w:rsidRPr="00DE52CC" w:rsidRDefault="00A245AA" w:rsidP="00A245A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4</w:t>
            </w:r>
            <w:r w:rsidR="00294CAA"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A1CE" w14:textId="77777777" w:rsidR="00A245AA" w:rsidRPr="00DE52CC" w:rsidRDefault="00A245AA" w:rsidP="00A245A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71.5%</w:t>
            </w:r>
          </w:p>
        </w:tc>
      </w:tr>
    </w:tbl>
    <w:p w14:paraId="4194BD58" w14:textId="2BFCEB2D" w:rsidR="006A5C07" w:rsidRPr="00DE52CC" w:rsidRDefault="00070F73" w:rsidP="00B60D36">
      <w:pPr>
        <w:rPr>
          <w:rFonts w:cstheme="minorHAnsi"/>
        </w:rPr>
      </w:pPr>
      <w:r w:rsidRPr="00DE52CC">
        <w:rPr>
          <w:rFonts w:cstheme="minorHAnsi"/>
        </w:rPr>
        <w:t xml:space="preserve">Source: </w:t>
      </w:r>
      <w:hyperlink r:id="rId13" w:history="1">
        <w:r w:rsidRPr="00DE52CC">
          <w:rPr>
            <w:rStyle w:val="Hyperlink"/>
            <w:rFonts w:cstheme="minorHAnsi"/>
          </w:rPr>
          <w:t>https://www.gov.uk/government/collections/maintained-schools-and-academies-inspections-and-outcomes-official-statistics</w:t>
        </w:r>
      </w:hyperlink>
      <w:r w:rsidRPr="00DE52CC">
        <w:rPr>
          <w:rFonts w:cstheme="minorHAnsi"/>
        </w:rPr>
        <w:t xml:space="preserve"> </w:t>
      </w:r>
    </w:p>
    <w:p w14:paraId="20D6F9D0" w14:textId="723A5995" w:rsidR="00070F73" w:rsidRPr="00DE52CC" w:rsidRDefault="00070F73" w:rsidP="00B60D36">
      <w:pPr>
        <w:rPr>
          <w:rFonts w:cstheme="minorHAnsi"/>
        </w:rPr>
      </w:pPr>
    </w:p>
    <w:p w14:paraId="438B8BBC" w14:textId="5B7C86A2" w:rsidR="00070F73" w:rsidRPr="00DE52CC" w:rsidRDefault="00070F73" w:rsidP="00B60D36">
      <w:pPr>
        <w:rPr>
          <w:rFonts w:cstheme="minorHAnsi"/>
        </w:rPr>
      </w:pPr>
    </w:p>
    <w:p w14:paraId="5345DECD" w14:textId="3A81322B" w:rsidR="00070F73" w:rsidRPr="00DE52CC" w:rsidRDefault="00070F73" w:rsidP="00B60D36">
      <w:pPr>
        <w:rPr>
          <w:rFonts w:cstheme="minorHAnsi"/>
        </w:rPr>
      </w:pPr>
    </w:p>
    <w:p w14:paraId="096E7158" w14:textId="6CFEE8A6" w:rsidR="00070F73" w:rsidRPr="00DE52CC" w:rsidRDefault="00070F73" w:rsidP="00B60D36">
      <w:pPr>
        <w:rPr>
          <w:rFonts w:cstheme="minorHAnsi"/>
        </w:rPr>
      </w:pPr>
    </w:p>
    <w:p w14:paraId="0A30248A" w14:textId="73F67BE6" w:rsidR="00070F73" w:rsidRPr="00DE52CC" w:rsidRDefault="00070F73" w:rsidP="00B60D36">
      <w:pPr>
        <w:rPr>
          <w:rFonts w:cstheme="minorHAnsi"/>
        </w:rPr>
      </w:pPr>
    </w:p>
    <w:p w14:paraId="51FC287B" w14:textId="51A9CF53" w:rsidR="00070F73" w:rsidRPr="00DE52CC" w:rsidRDefault="00070F73" w:rsidP="00B60D36">
      <w:pPr>
        <w:rPr>
          <w:rFonts w:cstheme="minorHAnsi"/>
        </w:rPr>
      </w:pPr>
    </w:p>
    <w:p w14:paraId="05BCC8B0" w14:textId="58D31F65" w:rsidR="00DC70C0" w:rsidRPr="00DE52CC" w:rsidRDefault="00DC70C0" w:rsidP="00DC70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52CC">
        <w:rPr>
          <w:rFonts w:cstheme="minorHAnsi"/>
        </w:rPr>
        <w:lastRenderedPageBreak/>
        <w:t xml:space="preserve">KPI </w:t>
      </w:r>
      <w:r w:rsidR="00E7269C" w:rsidRPr="00DE52CC">
        <w:rPr>
          <w:rFonts w:cstheme="minorHAnsi"/>
        </w:rPr>
        <w:t>2a</w:t>
      </w:r>
      <w:r w:rsidR="00C728AD" w:rsidRPr="00DE52CC">
        <w:rPr>
          <w:rFonts w:cstheme="minorHAnsi"/>
        </w:rPr>
        <w:t>i</w:t>
      </w:r>
      <w:r w:rsidR="00E7269C" w:rsidRPr="00DE52CC">
        <w:rPr>
          <w:rFonts w:cstheme="minorHAnsi"/>
        </w:rPr>
        <w:t>) Number of inadequate schools in the process to become an academy under Section 5D of the Academies Act 2010</w:t>
      </w:r>
    </w:p>
    <w:p w14:paraId="016754DB" w14:textId="40D86A1E" w:rsidR="0067040F" w:rsidRPr="00DE52CC" w:rsidRDefault="0067040F" w:rsidP="00DC70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3560"/>
        <w:gridCol w:w="2247"/>
      </w:tblGrid>
      <w:tr w:rsidR="00C728AD" w:rsidRPr="00DE52CC" w14:paraId="2A97302C" w14:textId="77777777" w:rsidTr="00C728AD">
        <w:trPr>
          <w:trHeight w:val="28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D799B22" w14:textId="77777777" w:rsidR="00C728AD" w:rsidRPr="00DE52CC" w:rsidRDefault="00C728AD" w:rsidP="00C728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RSC Region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D413B92" w14:textId="77777777" w:rsidR="00C728AD" w:rsidRPr="00DE52CC" w:rsidRDefault="00C728AD" w:rsidP="00C728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Number in process of conversion</w:t>
            </w:r>
          </w:p>
        </w:tc>
      </w:tr>
      <w:tr w:rsidR="00C728AD" w:rsidRPr="00DE52CC" w14:paraId="69562606" w14:textId="77777777" w:rsidTr="00C728AD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E38D" w14:textId="77777777" w:rsidR="00C728AD" w:rsidRPr="00DE52CC" w:rsidRDefault="00C728AD" w:rsidP="00C728A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East Midlands and Humber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4A5A" w14:textId="77777777" w:rsidR="00C728AD" w:rsidRPr="00DE52CC" w:rsidRDefault="00C728AD" w:rsidP="00C728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14</w:t>
            </w:r>
          </w:p>
        </w:tc>
      </w:tr>
      <w:tr w:rsidR="00C728AD" w:rsidRPr="00DE52CC" w14:paraId="1750FC32" w14:textId="77777777" w:rsidTr="00C728AD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B163" w14:textId="77777777" w:rsidR="00C728AD" w:rsidRPr="00DE52CC" w:rsidRDefault="00C728AD" w:rsidP="00C728A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East of England and North East London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EA73" w14:textId="77777777" w:rsidR="00C728AD" w:rsidRPr="00DE52CC" w:rsidRDefault="00C728AD" w:rsidP="00C728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10</w:t>
            </w:r>
          </w:p>
        </w:tc>
      </w:tr>
      <w:tr w:rsidR="00C728AD" w:rsidRPr="00DE52CC" w14:paraId="4D557779" w14:textId="77777777" w:rsidTr="00C728AD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C968" w14:textId="77777777" w:rsidR="00C728AD" w:rsidRPr="00DE52CC" w:rsidRDefault="00C728AD" w:rsidP="00C728A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Lancashire and West Yorkshire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59F3" w14:textId="77777777" w:rsidR="00C728AD" w:rsidRPr="00DE52CC" w:rsidRDefault="00C728AD" w:rsidP="00C728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45</w:t>
            </w:r>
          </w:p>
        </w:tc>
      </w:tr>
      <w:tr w:rsidR="00C728AD" w:rsidRPr="00DE52CC" w14:paraId="0B59FE26" w14:textId="77777777" w:rsidTr="00C728AD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3FA3" w14:textId="77777777" w:rsidR="00C728AD" w:rsidRPr="00DE52CC" w:rsidRDefault="00C728AD" w:rsidP="00C728A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North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3286" w14:textId="77777777" w:rsidR="00C728AD" w:rsidRPr="00DE52CC" w:rsidRDefault="00C728AD" w:rsidP="00C728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17</w:t>
            </w:r>
          </w:p>
        </w:tc>
      </w:tr>
      <w:tr w:rsidR="00C728AD" w:rsidRPr="00DE52CC" w14:paraId="5AC856D3" w14:textId="77777777" w:rsidTr="00C728AD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A584" w14:textId="77777777" w:rsidR="00C728AD" w:rsidRPr="00DE52CC" w:rsidRDefault="00C728AD" w:rsidP="00C728A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North West London and South Central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64CA" w14:textId="77777777" w:rsidR="00C728AD" w:rsidRPr="00DE52CC" w:rsidRDefault="00C728AD" w:rsidP="00C728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15</w:t>
            </w:r>
          </w:p>
        </w:tc>
      </w:tr>
      <w:tr w:rsidR="00C728AD" w:rsidRPr="00DE52CC" w14:paraId="781C46DD" w14:textId="77777777" w:rsidTr="00C728AD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B464" w14:textId="77777777" w:rsidR="00C728AD" w:rsidRPr="00DE52CC" w:rsidRDefault="00C728AD" w:rsidP="00C728A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South East and South London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5510" w14:textId="77777777" w:rsidR="00C728AD" w:rsidRPr="00DE52CC" w:rsidRDefault="00C728AD" w:rsidP="00C728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15</w:t>
            </w:r>
          </w:p>
        </w:tc>
      </w:tr>
      <w:tr w:rsidR="00C728AD" w:rsidRPr="00DE52CC" w14:paraId="6632681B" w14:textId="77777777" w:rsidTr="00C728AD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7675" w14:textId="77777777" w:rsidR="00C728AD" w:rsidRPr="00DE52CC" w:rsidRDefault="00C728AD" w:rsidP="00C728A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South West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4F2E" w14:textId="77777777" w:rsidR="00C728AD" w:rsidRPr="00DE52CC" w:rsidRDefault="00C728AD" w:rsidP="00C728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15</w:t>
            </w:r>
          </w:p>
        </w:tc>
      </w:tr>
      <w:tr w:rsidR="00C728AD" w:rsidRPr="00DE52CC" w14:paraId="518721CE" w14:textId="77777777" w:rsidTr="00C728AD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031" w14:textId="77777777" w:rsidR="00C728AD" w:rsidRPr="00DE52CC" w:rsidRDefault="00C728AD" w:rsidP="00C728A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West Midlands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AF5C" w14:textId="77777777" w:rsidR="00C728AD" w:rsidRPr="00DE52CC" w:rsidRDefault="00C728AD" w:rsidP="00C728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38</w:t>
            </w:r>
          </w:p>
        </w:tc>
      </w:tr>
      <w:tr w:rsidR="00C728AD" w:rsidRPr="00DE52CC" w14:paraId="690D1B8D" w14:textId="77777777" w:rsidTr="00C728AD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BD51" w14:textId="77777777" w:rsidR="00C728AD" w:rsidRPr="00DE52CC" w:rsidRDefault="00C728AD" w:rsidP="00C728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B254" w14:textId="77777777" w:rsidR="00C728AD" w:rsidRPr="00DE52CC" w:rsidRDefault="00C728AD" w:rsidP="00C728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169</w:t>
            </w:r>
          </w:p>
        </w:tc>
      </w:tr>
    </w:tbl>
    <w:p w14:paraId="23FFD9E1" w14:textId="1EB58848" w:rsidR="00DC70C0" w:rsidRPr="00DE52CC" w:rsidRDefault="00DC70C0" w:rsidP="00DC70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F63046E" w14:textId="0640BEDF" w:rsidR="00AC1D57" w:rsidRPr="00DE52CC" w:rsidRDefault="00070F73" w:rsidP="00DC70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E52CC">
        <w:rPr>
          <w:rFonts w:cstheme="minorHAnsi"/>
          <w:color w:val="000000"/>
        </w:rPr>
        <w:t>Source: Internal Management information</w:t>
      </w:r>
      <w:r w:rsidR="00060308" w:rsidRPr="00DE52CC">
        <w:rPr>
          <w:rFonts w:cstheme="minorHAnsi"/>
          <w:color w:val="000000"/>
        </w:rPr>
        <w:t xml:space="preserve"> as of August 2019 </w:t>
      </w:r>
      <w:r w:rsidRPr="00DE52CC">
        <w:rPr>
          <w:rFonts w:cstheme="minorHAnsi"/>
          <w:color w:val="000000"/>
        </w:rPr>
        <w:t xml:space="preserve"> </w:t>
      </w:r>
    </w:p>
    <w:p w14:paraId="0965D7AF" w14:textId="23100B0D" w:rsidR="00AC1D57" w:rsidRPr="00DE52CC" w:rsidRDefault="00AC1D57" w:rsidP="00DC70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3D870C0" w14:textId="77777777" w:rsidR="00AC1D57" w:rsidRPr="00DE52CC" w:rsidRDefault="00AC1D57" w:rsidP="00DC70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696F716" w14:textId="3A751FF6" w:rsidR="005A195C" w:rsidRPr="00DE52CC" w:rsidRDefault="005A195C" w:rsidP="005A195C">
      <w:pPr>
        <w:pStyle w:val="DeptBullets"/>
        <w:numPr>
          <w:ilvl w:val="0"/>
          <w:numId w:val="0"/>
        </w:numPr>
        <w:tabs>
          <w:tab w:val="left" w:pos="720"/>
        </w:tabs>
        <w:spacing w:after="0" w:line="25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E52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KPI </w:t>
      </w:r>
      <w:r w:rsidR="00C728AD" w:rsidRPr="00DE52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2aii) </w:t>
      </w:r>
      <w:bookmarkStart w:id="0" w:name="_Hlk39071557"/>
      <w:bookmarkStart w:id="1" w:name="_Hlk39071422"/>
      <w:r w:rsidR="00294CAA" w:rsidRPr="00DE52CC">
        <w:rPr>
          <w:rFonts w:asciiTheme="minorHAnsi" w:eastAsiaTheme="minorHAnsi" w:hAnsiTheme="minorHAnsi" w:cstheme="minorHAnsi"/>
          <w:sz w:val="22"/>
          <w:szCs w:val="22"/>
          <w:lang w:eastAsia="en-US"/>
        </w:rPr>
        <w:t>Median</w:t>
      </w:r>
      <w:r w:rsidR="00C728AD" w:rsidRPr="00DE52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time taken (months) to convert </w:t>
      </w:r>
      <w:r w:rsidR="00AC1D57" w:rsidRPr="00DE52CC">
        <w:rPr>
          <w:rFonts w:asciiTheme="minorHAnsi" w:eastAsiaTheme="minorHAnsi" w:hAnsiTheme="minorHAnsi" w:cstheme="minorHAnsi"/>
          <w:sz w:val="22"/>
          <w:szCs w:val="22"/>
          <w:lang w:eastAsia="en-US"/>
        </w:rPr>
        <w:t>Inadequate</w:t>
      </w:r>
      <w:r w:rsidR="00DE786C" w:rsidRPr="00DE52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schools to academies</w:t>
      </w:r>
      <w:r w:rsidR="00C728AD" w:rsidRPr="00DE52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per region </w:t>
      </w:r>
      <w:r w:rsidR="00AC1D57" w:rsidRPr="00DE52CC">
        <w:rPr>
          <w:rFonts w:asciiTheme="minorHAnsi" w:eastAsiaTheme="minorHAnsi" w:hAnsiTheme="minorHAnsi" w:cstheme="minorHAnsi"/>
          <w:sz w:val="22"/>
          <w:szCs w:val="22"/>
          <w:lang w:eastAsia="en-US"/>
        </w:rPr>
        <w:t>for all time, and in the last 12 months (months)</w:t>
      </w:r>
      <w:bookmarkEnd w:id="0"/>
      <w:r w:rsidR="00AC1D57" w:rsidRPr="00DE52C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bookmarkEnd w:id="1"/>
    </w:p>
    <w:p w14:paraId="52C68BAD" w14:textId="77777777" w:rsidR="00AC1D57" w:rsidRPr="00DE52CC" w:rsidRDefault="00AC1D57" w:rsidP="005A195C">
      <w:pPr>
        <w:pStyle w:val="DeptBullets"/>
        <w:numPr>
          <w:ilvl w:val="0"/>
          <w:numId w:val="0"/>
        </w:numPr>
        <w:tabs>
          <w:tab w:val="left" w:pos="720"/>
        </w:tabs>
        <w:spacing w:after="0" w:line="25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3560"/>
        <w:gridCol w:w="1964"/>
        <w:gridCol w:w="2126"/>
      </w:tblGrid>
      <w:tr w:rsidR="00AC1D57" w:rsidRPr="00DE52CC" w14:paraId="3E67F991" w14:textId="77777777" w:rsidTr="00DE786C">
        <w:trPr>
          <w:trHeight w:val="28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2092A26" w14:textId="77777777" w:rsidR="00AC1D57" w:rsidRPr="00DE52CC" w:rsidRDefault="00AC1D57" w:rsidP="00AC1D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RSC Region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4A2EB05" w14:textId="7B478AEB" w:rsidR="00AC1D57" w:rsidRPr="00DE52CC" w:rsidRDefault="00AC1D57" w:rsidP="00AC1D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Average time taken</w:t>
            </w:r>
            <w:r w:rsidR="00DE786C"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to transfer, all time (months)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91ED1EB" w14:textId="6A3FFF97" w:rsidR="00AC1D57" w:rsidRPr="00DE52CC" w:rsidRDefault="00AC1D57" w:rsidP="00AC1D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Average time taken </w:t>
            </w:r>
            <w:r w:rsidR="00DE786C"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to transfer in the last 12 months (months) </w:t>
            </w:r>
          </w:p>
        </w:tc>
      </w:tr>
      <w:tr w:rsidR="00AC1D57" w:rsidRPr="00DE52CC" w14:paraId="414E69E8" w14:textId="77777777" w:rsidTr="00DE786C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F74F" w14:textId="77777777" w:rsidR="00AC1D57" w:rsidRPr="00DE52CC" w:rsidRDefault="00AC1D57" w:rsidP="00AC1D5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East Midlands and Humber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5E0E" w14:textId="77777777" w:rsidR="00AC1D57" w:rsidRPr="00DE52CC" w:rsidRDefault="00AC1D57" w:rsidP="00AC1D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9.9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F616" w14:textId="77777777" w:rsidR="00AC1D57" w:rsidRPr="00DE52CC" w:rsidRDefault="00AC1D57" w:rsidP="00AC1D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10.0</w:t>
            </w:r>
          </w:p>
        </w:tc>
      </w:tr>
      <w:tr w:rsidR="00AC1D57" w:rsidRPr="00DE52CC" w14:paraId="70386CCA" w14:textId="77777777" w:rsidTr="00DE786C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C0CB" w14:textId="77777777" w:rsidR="00AC1D57" w:rsidRPr="00DE52CC" w:rsidRDefault="00AC1D57" w:rsidP="00AC1D5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East of England and North East London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31F2" w14:textId="77777777" w:rsidR="00AC1D57" w:rsidRPr="00DE52CC" w:rsidRDefault="00AC1D57" w:rsidP="00AC1D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8.9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D0AE" w14:textId="77777777" w:rsidR="00AC1D57" w:rsidRPr="00DE52CC" w:rsidRDefault="00AC1D57" w:rsidP="00AC1D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8.8</w:t>
            </w:r>
          </w:p>
        </w:tc>
      </w:tr>
      <w:tr w:rsidR="00AC1D57" w:rsidRPr="00DE52CC" w14:paraId="28D27C22" w14:textId="77777777" w:rsidTr="00DE786C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6975" w14:textId="77777777" w:rsidR="00AC1D57" w:rsidRPr="00DE52CC" w:rsidRDefault="00AC1D57" w:rsidP="00AC1D5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Lancashire and West Yorkshire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92E2" w14:textId="77777777" w:rsidR="00AC1D57" w:rsidRPr="00DE52CC" w:rsidRDefault="00AC1D57" w:rsidP="00AC1D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12.9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B8BA" w14:textId="77777777" w:rsidR="00AC1D57" w:rsidRPr="00DE52CC" w:rsidRDefault="00AC1D57" w:rsidP="00AC1D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13.9</w:t>
            </w:r>
          </w:p>
        </w:tc>
      </w:tr>
      <w:tr w:rsidR="00AC1D57" w:rsidRPr="00DE52CC" w14:paraId="0BEF57A1" w14:textId="77777777" w:rsidTr="00DE786C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DF8C" w14:textId="77777777" w:rsidR="00AC1D57" w:rsidRPr="00DE52CC" w:rsidRDefault="00AC1D57" w:rsidP="00AC1D5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North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C45F" w14:textId="77777777" w:rsidR="00AC1D57" w:rsidRPr="00DE52CC" w:rsidRDefault="00AC1D57" w:rsidP="00AC1D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13.3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2111" w14:textId="77777777" w:rsidR="00AC1D57" w:rsidRPr="00DE52CC" w:rsidRDefault="00AC1D57" w:rsidP="00AC1D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14.9</w:t>
            </w:r>
          </w:p>
        </w:tc>
      </w:tr>
      <w:tr w:rsidR="00AC1D57" w:rsidRPr="00DE52CC" w14:paraId="029DC0D3" w14:textId="77777777" w:rsidTr="00DE786C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75C8" w14:textId="77777777" w:rsidR="00AC1D57" w:rsidRPr="00DE52CC" w:rsidRDefault="00AC1D57" w:rsidP="00AC1D5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North West London and South Central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5FA2" w14:textId="77777777" w:rsidR="00AC1D57" w:rsidRPr="00DE52CC" w:rsidRDefault="00AC1D57" w:rsidP="00AC1D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11.4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ABEE" w14:textId="77777777" w:rsidR="00AC1D57" w:rsidRPr="00DE52CC" w:rsidRDefault="00AC1D57" w:rsidP="00AC1D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13.1</w:t>
            </w:r>
          </w:p>
        </w:tc>
      </w:tr>
      <w:tr w:rsidR="00AC1D57" w:rsidRPr="00DE52CC" w14:paraId="3227BB51" w14:textId="77777777" w:rsidTr="00DE786C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1FC3" w14:textId="77777777" w:rsidR="00AC1D57" w:rsidRPr="00DE52CC" w:rsidRDefault="00AC1D57" w:rsidP="00AC1D5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South East and South London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7620" w14:textId="77777777" w:rsidR="00AC1D57" w:rsidRPr="00DE52CC" w:rsidRDefault="00AC1D57" w:rsidP="00AC1D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10.8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84F6" w14:textId="77777777" w:rsidR="00AC1D57" w:rsidRPr="00DE52CC" w:rsidRDefault="00AC1D57" w:rsidP="00AC1D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14.9</w:t>
            </w:r>
          </w:p>
        </w:tc>
      </w:tr>
      <w:tr w:rsidR="00AC1D57" w:rsidRPr="00DE52CC" w14:paraId="12CE484E" w14:textId="77777777" w:rsidTr="00DE786C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E61F" w14:textId="77777777" w:rsidR="00AC1D57" w:rsidRPr="00DE52CC" w:rsidRDefault="00AC1D57" w:rsidP="00AC1D5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South West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08FA" w14:textId="77777777" w:rsidR="00AC1D57" w:rsidRPr="00DE52CC" w:rsidRDefault="00AC1D57" w:rsidP="00AC1D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11.6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573B" w14:textId="77777777" w:rsidR="00AC1D57" w:rsidRPr="00DE52CC" w:rsidRDefault="00AC1D57" w:rsidP="00AC1D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14.1</w:t>
            </w:r>
          </w:p>
        </w:tc>
      </w:tr>
      <w:tr w:rsidR="00AC1D57" w:rsidRPr="00DE52CC" w14:paraId="57E4274A" w14:textId="77777777" w:rsidTr="00DE786C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91F6" w14:textId="77777777" w:rsidR="00AC1D57" w:rsidRPr="00DE52CC" w:rsidRDefault="00AC1D57" w:rsidP="00AC1D5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West Midlands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31A1" w14:textId="77777777" w:rsidR="00AC1D57" w:rsidRPr="00DE52CC" w:rsidRDefault="00AC1D57" w:rsidP="00AC1D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14.3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CE38" w14:textId="77777777" w:rsidR="00AC1D57" w:rsidRPr="00DE52CC" w:rsidRDefault="00AC1D57" w:rsidP="00AC1D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color w:val="000000"/>
                <w:lang w:eastAsia="en-GB"/>
              </w:rPr>
              <w:t>17.3</w:t>
            </w:r>
          </w:p>
        </w:tc>
      </w:tr>
      <w:tr w:rsidR="00AC1D57" w:rsidRPr="00DE52CC" w14:paraId="453E392A" w14:textId="77777777" w:rsidTr="00DE786C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1FC4" w14:textId="7ECF206F" w:rsidR="00AC1D57" w:rsidRPr="00DE52CC" w:rsidRDefault="00AC1D57" w:rsidP="00AC1D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92E6" w14:textId="77777777" w:rsidR="00AC1D57" w:rsidRPr="00DE52CC" w:rsidRDefault="00AC1D57" w:rsidP="00AC1D5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11.6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3C39" w14:textId="77777777" w:rsidR="00AC1D57" w:rsidRPr="00DE52CC" w:rsidRDefault="00AC1D57" w:rsidP="00AC1D5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13.5</w:t>
            </w:r>
          </w:p>
        </w:tc>
      </w:tr>
    </w:tbl>
    <w:p w14:paraId="2EB0DDF7" w14:textId="63F13F41" w:rsidR="005A195C" w:rsidRPr="00DE52CC" w:rsidRDefault="005A195C" w:rsidP="00DC3E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2266D4" w14:textId="4A38B75B" w:rsidR="00070F73" w:rsidRPr="00DE52CC" w:rsidRDefault="00070F73" w:rsidP="00070F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E52CC">
        <w:rPr>
          <w:rFonts w:cstheme="minorHAnsi"/>
          <w:color w:val="000000"/>
        </w:rPr>
        <w:t xml:space="preserve">Source: </w:t>
      </w:r>
      <w:bookmarkStart w:id="2" w:name="_Hlk39071537"/>
      <w:r w:rsidRPr="00DE52CC">
        <w:rPr>
          <w:rFonts w:cstheme="minorHAnsi"/>
          <w:color w:val="000000"/>
        </w:rPr>
        <w:t>Internal Management information (taken: 15/</w:t>
      </w:r>
      <w:r w:rsidR="00DE52CC" w:rsidRPr="00DE52CC">
        <w:rPr>
          <w:rFonts w:cstheme="minorHAnsi"/>
          <w:color w:val="000000"/>
        </w:rPr>
        <w:t>0</w:t>
      </w:r>
      <w:r w:rsidRPr="00DE52CC">
        <w:rPr>
          <w:rFonts w:cstheme="minorHAnsi"/>
          <w:color w:val="000000"/>
        </w:rPr>
        <w:t xml:space="preserve">1/20) </w:t>
      </w:r>
    </w:p>
    <w:bookmarkEnd w:id="2"/>
    <w:p w14:paraId="39149EF1" w14:textId="77777777" w:rsidR="00070F73" w:rsidRPr="00DE52CC" w:rsidRDefault="00070F73" w:rsidP="00DC3E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38FD62" w14:textId="77777777" w:rsidR="00D619C1" w:rsidRPr="00DE52CC" w:rsidRDefault="00D619C1">
      <w:pPr>
        <w:rPr>
          <w:rFonts w:cstheme="minorHAnsi"/>
        </w:rPr>
      </w:pPr>
      <w:r w:rsidRPr="00DE52CC">
        <w:rPr>
          <w:rFonts w:cstheme="minorHAnsi"/>
        </w:rPr>
        <w:br w:type="page"/>
      </w:r>
    </w:p>
    <w:p w14:paraId="0B47DCB1" w14:textId="34A27A42" w:rsidR="00024FE5" w:rsidRPr="00DE52CC" w:rsidRDefault="00DC3EE4" w:rsidP="00DC70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E52CC">
        <w:rPr>
          <w:rFonts w:cstheme="minorHAnsi"/>
        </w:rPr>
        <w:lastRenderedPageBreak/>
        <w:t xml:space="preserve">KPI </w:t>
      </w:r>
      <w:r w:rsidR="00AC1D57" w:rsidRPr="00DE52CC">
        <w:rPr>
          <w:rFonts w:cstheme="minorHAnsi"/>
        </w:rPr>
        <w:t>2b</w:t>
      </w:r>
      <w:r w:rsidRPr="00DE52CC">
        <w:rPr>
          <w:rFonts w:cstheme="minorHAnsi"/>
        </w:rPr>
        <w:t xml:space="preserve">) </w:t>
      </w:r>
      <w:r w:rsidR="00AC1D57" w:rsidRPr="00DE52CC">
        <w:rPr>
          <w:rFonts w:cstheme="minorHAnsi"/>
        </w:rPr>
        <w:t>Average time taken (months) to deliver academy transfer cases in the last 12 months.</w:t>
      </w:r>
    </w:p>
    <w:p w14:paraId="08E789BD" w14:textId="7CE71367" w:rsidR="007935F4" w:rsidRPr="00DE52CC" w:rsidRDefault="007935F4" w:rsidP="00985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W w:w="6516" w:type="dxa"/>
        <w:tblLook w:val="04A0" w:firstRow="1" w:lastRow="0" w:firstColumn="1" w:lastColumn="0" w:noHBand="0" w:noVBand="1"/>
      </w:tblPr>
      <w:tblGrid>
        <w:gridCol w:w="3560"/>
        <w:gridCol w:w="2956"/>
      </w:tblGrid>
      <w:tr w:rsidR="00FE1D76" w:rsidRPr="00DE52CC" w14:paraId="4605524E" w14:textId="77777777" w:rsidTr="00FE1D76">
        <w:trPr>
          <w:trHeight w:val="28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D0FBE7D" w14:textId="77777777" w:rsidR="00FE1D76" w:rsidRPr="00DE52CC" w:rsidRDefault="00FE1D76" w:rsidP="00FE1D7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lang w:eastAsia="en-GB"/>
              </w:rPr>
              <w:t>RSC Region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300B8BF7" w14:textId="3CF231FF" w:rsidR="00FE1D76" w:rsidRPr="00DE52CC" w:rsidRDefault="00FE1D76" w:rsidP="00FE1D7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lang w:eastAsia="en-GB"/>
              </w:rPr>
              <w:t xml:space="preserve">Average time taken to transfer </w:t>
            </w:r>
            <w:r w:rsidR="00DE786C" w:rsidRPr="00DE52CC">
              <w:rPr>
                <w:rFonts w:eastAsia="Times New Roman" w:cstheme="minorHAnsi"/>
                <w:b/>
                <w:bCs/>
                <w:lang w:eastAsia="en-GB"/>
              </w:rPr>
              <w:t xml:space="preserve">in the </w:t>
            </w:r>
            <w:r w:rsidRPr="00DE52CC">
              <w:rPr>
                <w:rFonts w:eastAsia="Times New Roman" w:cstheme="minorHAnsi"/>
                <w:b/>
                <w:bCs/>
                <w:lang w:eastAsia="en-GB"/>
              </w:rPr>
              <w:t xml:space="preserve">last 12 months </w:t>
            </w:r>
            <w:r w:rsidR="00DE786C" w:rsidRPr="00DE52CC">
              <w:rPr>
                <w:rFonts w:eastAsia="Times New Roman" w:cstheme="minorHAnsi"/>
                <w:b/>
                <w:bCs/>
                <w:lang w:eastAsia="en-GB"/>
              </w:rPr>
              <w:t>(months)</w:t>
            </w:r>
          </w:p>
        </w:tc>
      </w:tr>
      <w:tr w:rsidR="00FE1D76" w:rsidRPr="00DE52CC" w14:paraId="45192EAC" w14:textId="77777777" w:rsidTr="00FE1D76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506D" w14:textId="77777777" w:rsidR="00FE1D76" w:rsidRPr="00DE52CC" w:rsidRDefault="00FE1D76" w:rsidP="00FE1D7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E52CC">
              <w:rPr>
                <w:rFonts w:eastAsia="Times New Roman" w:cstheme="minorHAnsi"/>
                <w:lang w:eastAsia="en-GB"/>
              </w:rPr>
              <w:t>East Midlands and Humber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5A7D" w14:textId="1538EE1C" w:rsidR="00FE1D76" w:rsidRPr="00DE52CC" w:rsidRDefault="00FE1D76" w:rsidP="00FE1D76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DE52CC">
              <w:rPr>
                <w:rFonts w:eastAsia="Times New Roman" w:cstheme="minorHAnsi"/>
                <w:lang w:eastAsia="en-GB"/>
              </w:rPr>
              <w:t>6.4</w:t>
            </w:r>
          </w:p>
        </w:tc>
      </w:tr>
      <w:tr w:rsidR="00FE1D76" w:rsidRPr="00DE52CC" w14:paraId="6F4EDD6A" w14:textId="77777777" w:rsidTr="00FE1D76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5E57" w14:textId="77777777" w:rsidR="00FE1D76" w:rsidRPr="00DE52CC" w:rsidRDefault="00FE1D76" w:rsidP="00FE1D7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E52CC">
              <w:rPr>
                <w:rFonts w:eastAsia="Times New Roman" w:cstheme="minorHAnsi"/>
                <w:lang w:eastAsia="en-GB"/>
              </w:rPr>
              <w:t>East of England and North East London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11FC" w14:textId="31262C9A" w:rsidR="00FE1D76" w:rsidRPr="00DE52CC" w:rsidRDefault="00FE1D76" w:rsidP="00FE1D76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DE52CC">
              <w:rPr>
                <w:rFonts w:eastAsia="Times New Roman" w:cstheme="minorHAnsi"/>
                <w:lang w:eastAsia="en-GB"/>
              </w:rPr>
              <w:t>4.9</w:t>
            </w:r>
          </w:p>
        </w:tc>
      </w:tr>
      <w:tr w:rsidR="00FE1D76" w:rsidRPr="00DE52CC" w14:paraId="4A251B09" w14:textId="77777777" w:rsidTr="00FE1D76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28CA" w14:textId="77777777" w:rsidR="00FE1D76" w:rsidRPr="00DE52CC" w:rsidRDefault="00FE1D76" w:rsidP="00FE1D7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E52CC">
              <w:rPr>
                <w:rFonts w:eastAsia="Times New Roman" w:cstheme="minorHAnsi"/>
                <w:lang w:eastAsia="en-GB"/>
              </w:rPr>
              <w:t>Lancashire and West Yorkshire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9BD5" w14:textId="575F2A67" w:rsidR="00FE1D76" w:rsidRPr="00DE52CC" w:rsidRDefault="00FE1D76" w:rsidP="00FE1D76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DE52CC">
              <w:rPr>
                <w:rFonts w:eastAsia="Times New Roman" w:cstheme="minorHAnsi"/>
                <w:lang w:eastAsia="en-GB"/>
              </w:rPr>
              <w:t>6.2</w:t>
            </w:r>
          </w:p>
        </w:tc>
      </w:tr>
      <w:tr w:rsidR="00FE1D76" w:rsidRPr="00DE52CC" w14:paraId="36FAE326" w14:textId="77777777" w:rsidTr="00FE1D76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0E40" w14:textId="77777777" w:rsidR="00FE1D76" w:rsidRPr="00DE52CC" w:rsidRDefault="00FE1D76" w:rsidP="00FE1D7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E52CC">
              <w:rPr>
                <w:rFonts w:eastAsia="Times New Roman" w:cstheme="minorHAnsi"/>
                <w:lang w:eastAsia="en-GB"/>
              </w:rPr>
              <w:t>North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68E4" w14:textId="15564D38" w:rsidR="00FE1D76" w:rsidRPr="00DE52CC" w:rsidRDefault="00FE1D76" w:rsidP="00FE1D76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DE52CC">
              <w:rPr>
                <w:rFonts w:eastAsia="Times New Roman" w:cstheme="minorHAnsi"/>
                <w:lang w:eastAsia="en-GB"/>
              </w:rPr>
              <w:t>2.4</w:t>
            </w:r>
          </w:p>
        </w:tc>
      </w:tr>
      <w:tr w:rsidR="00FE1D76" w:rsidRPr="00DE52CC" w14:paraId="6B57CFC5" w14:textId="77777777" w:rsidTr="00FE1D76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E6FF" w14:textId="77777777" w:rsidR="00FE1D76" w:rsidRPr="00DE52CC" w:rsidRDefault="00FE1D76" w:rsidP="00FE1D7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E52CC">
              <w:rPr>
                <w:rFonts w:eastAsia="Times New Roman" w:cstheme="minorHAnsi"/>
                <w:lang w:eastAsia="en-GB"/>
              </w:rPr>
              <w:t>North West London and South Central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9555" w14:textId="1AE5CE90" w:rsidR="00FE1D76" w:rsidRPr="00DE52CC" w:rsidRDefault="00FE1D76" w:rsidP="00FE1D76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DE52CC">
              <w:rPr>
                <w:rFonts w:eastAsia="Times New Roman" w:cstheme="minorHAnsi"/>
                <w:lang w:eastAsia="en-GB"/>
              </w:rPr>
              <w:t>5.8</w:t>
            </w:r>
          </w:p>
        </w:tc>
      </w:tr>
      <w:tr w:rsidR="00FE1D76" w:rsidRPr="00DE52CC" w14:paraId="25C70328" w14:textId="77777777" w:rsidTr="00FE1D76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9601" w14:textId="77777777" w:rsidR="00FE1D76" w:rsidRPr="00DE52CC" w:rsidRDefault="00FE1D76" w:rsidP="00FE1D7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E52CC">
              <w:rPr>
                <w:rFonts w:eastAsia="Times New Roman" w:cstheme="minorHAnsi"/>
                <w:lang w:eastAsia="en-GB"/>
              </w:rPr>
              <w:t>South East and South London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6B52" w14:textId="352A71A6" w:rsidR="00FE1D76" w:rsidRPr="00DE52CC" w:rsidRDefault="00FE1D76" w:rsidP="00FE1D76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DE52CC">
              <w:rPr>
                <w:rFonts w:eastAsia="Times New Roman" w:cstheme="minorHAnsi"/>
                <w:lang w:eastAsia="en-GB"/>
              </w:rPr>
              <w:t>3.7</w:t>
            </w:r>
          </w:p>
        </w:tc>
      </w:tr>
      <w:tr w:rsidR="00FE1D76" w:rsidRPr="00DE52CC" w14:paraId="5AE7422A" w14:textId="77777777" w:rsidTr="00FE1D76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CB41" w14:textId="77777777" w:rsidR="00FE1D76" w:rsidRPr="00DE52CC" w:rsidRDefault="00FE1D76" w:rsidP="00FE1D7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E52CC">
              <w:rPr>
                <w:rFonts w:eastAsia="Times New Roman" w:cstheme="minorHAnsi"/>
                <w:lang w:eastAsia="en-GB"/>
              </w:rPr>
              <w:t>South West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5F86" w14:textId="4A77AEB9" w:rsidR="00FE1D76" w:rsidRPr="00DE52CC" w:rsidRDefault="00FE1D76" w:rsidP="00FE1D76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DE52CC">
              <w:rPr>
                <w:rFonts w:eastAsia="Times New Roman" w:cstheme="minorHAnsi"/>
                <w:lang w:eastAsia="en-GB"/>
              </w:rPr>
              <w:t>5.3</w:t>
            </w:r>
          </w:p>
        </w:tc>
      </w:tr>
      <w:tr w:rsidR="00FE1D76" w:rsidRPr="00DE52CC" w14:paraId="159B5B21" w14:textId="77777777" w:rsidTr="00FE1D76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1EB8" w14:textId="77777777" w:rsidR="00FE1D76" w:rsidRPr="00DE52CC" w:rsidRDefault="00FE1D76" w:rsidP="00FE1D7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E52CC">
              <w:rPr>
                <w:rFonts w:eastAsia="Times New Roman" w:cstheme="minorHAnsi"/>
                <w:lang w:eastAsia="en-GB"/>
              </w:rPr>
              <w:t>West Midlands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7467" w14:textId="5E38FDE1" w:rsidR="00FE1D76" w:rsidRPr="00DE52CC" w:rsidRDefault="00FE1D76" w:rsidP="00FE1D76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DE52CC">
              <w:rPr>
                <w:rFonts w:eastAsia="Times New Roman" w:cstheme="minorHAnsi"/>
                <w:lang w:eastAsia="en-GB"/>
              </w:rPr>
              <w:t>3.4</w:t>
            </w:r>
          </w:p>
        </w:tc>
      </w:tr>
      <w:tr w:rsidR="00FE1D76" w:rsidRPr="00DE52CC" w14:paraId="36D41CD2" w14:textId="77777777" w:rsidTr="00FE1D76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ADF3" w14:textId="77777777" w:rsidR="00FE1D76" w:rsidRPr="00DE52CC" w:rsidRDefault="00FE1D76" w:rsidP="00FE1D7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lang w:eastAsia="en-GB"/>
              </w:rPr>
              <w:t>Total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F628" w14:textId="5C64F26F" w:rsidR="00FE1D76" w:rsidRPr="00DE52CC" w:rsidRDefault="00FE1D76" w:rsidP="00FE1D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GB"/>
              </w:rPr>
            </w:pPr>
            <w:r w:rsidRPr="00DE52CC">
              <w:rPr>
                <w:rFonts w:eastAsia="Times New Roman" w:cstheme="minorHAnsi"/>
                <w:b/>
                <w:bCs/>
                <w:lang w:eastAsia="en-GB"/>
              </w:rPr>
              <w:t>4.9</w:t>
            </w:r>
          </w:p>
        </w:tc>
      </w:tr>
    </w:tbl>
    <w:p w14:paraId="7BCAA819" w14:textId="5194882B" w:rsidR="00070F73" w:rsidRPr="00DE52CC" w:rsidRDefault="00070F73" w:rsidP="00070F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E52CC">
        <w:rPr>
          <w:rFonts w:cstheme="minorHAnsi"/>
          <w:color w:val="000000"/>
        </w:rPr>
        <w:t>Source: Internal Management information (taken: 15/</w:t>
      </w:r>
      <w:r w:rsidR="00DE52CC" w:rsidRPr="00DE52CC">
        <w:rPr>
          <w:rFonts w:cstheme="minorHAnsi"/>
          <w:color w:val="000000"/>
        </w:rPr>
        <w:t>0</w:t>
      </w:r>
      <w:r w:rsidRPr="00DE52CC">
        <w:rPr>
          <w:rFonts w:cstheme="minorHAnsi"/>
          <w:color w:val="000000"/>
        </w:rPr>
        <w:t xml:space="preserve">1/20) </w:t>
      </w:r>
    </w:p>
    <w:p w14:paraId="1706D29E" w14:textId="77777777" w:rsidR="00070F73" w:rsidRPr="00DE52CC" w:rsidRDefault="00070F73" w:rsidP="00B60D36">
      <w:pPr>
        <w:rPr>
          <w:rFonts w:cstheme="minorHAnsi"/>
        </w:rPr>
      </w:pPr>
    </w:p>
    <w:sectPr w:rsidR="00070F73" w:rsidRPr="00DE52CC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420F2" w14:textId="77777777" w:rsidR="00335362" w:rsidRDefault="00335362" w:rsidP="001F56FE">
      <w:pPr>
        <w:spacing w:after="0" w:line="240" w:lineRule="auto"/>
      </w:pPr>
      <w:r>
        <w:separator/>
      </w:r>
    </w:p>
  </w:endnote>
  <w:endnote w:type="continuationSeparator" w:id="0">
    <w:p w14:paraId="4C67E644" w14:textId="77777777" w:rsidR="00335362" w:rsidRDefault="00335362" w:rsidP="001F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9464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CC0A6" w14:textId="31E8EC87" w:rsidR="001F56FE" w:rsidRDefault="001F56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7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9CA94D" w14:textId="77777777" w:rsidR="001F56FE" w:rsidRDefault="001F5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65912" w14:textId="77777777" w:rsidR="00335362" w:rsidRDefault="00335362" w:rsidP="001F56FE">
      <w:pPr>
        <w:spacing w:after="0" w:line="240" w:lineRule="auto"/>
      </w:pPr>
      <w:r>
        <w:separator/>
      </w:r>
    </w:p>
  </w:footnote>
  <w:footnote w:type="continuationSeparator" w:id="0">
    <w:p w14:paraId="1AD670F2" w14:textId="77777777" w:rsidR="00335362" w:rsidRDefault="00335362" w:rsidP="001F5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D00DB6"/>
    <w:multiLevelType w:val="multilevel"/>
    <w:tmpl w:val="93580D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B529C0"/>
    <w:multiLevelType w:val="hybridMultilevel"/>
    <w:tmpl w:val="DA7A2A04"/>
    <w:lvl w:ilvl="0" w:tplc="410238F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845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3C5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8F74B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A0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A824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95A0A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84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B0E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48"/>
    <w:rsid w:val="00024FE5"/>
    <w:rsid w:val="00042FFA"/>
    <w:rsid w:val="00060308"/>
    <w:rsid w:val="00070F73"/>
    <w:rsid w:val="000D352F"/>
    <w:rsid w:val="00151CE6"/>
    <w:rsid w:val="001F56FE"/>
    <w:rsid w:val="002319E9"/>
    <w:rsid w:val="0024364D"/>
    <w:rsid w:val="00294CAA"/>
    <w:rsid w:val="002A07D1"/>
    <w:rsid w:val="002E5E2D"/>
    <w:rsid w:val="002F3E21"/>
    <w:rsid w:val="002F708A"/>
    <w:rsid w:val="002F7B67"/>
    <w:rsid w:val="00335362"/>
    <w:rsid w:val="0038193A"/>
    <w:rsid w:val="00385293"/>
    <w:rsid w:val="00394E48"/>
    <w:rsid w:val="00416D41"/>
    <w:rsid w:val="004711EC"/>
    <w:rsid w:val="004958FD"/>
    <w:rsid w:val="004B6465"/>
    <w:rsid w:val="0053234E"/>
    <w:rsid w:val="005A195C"/>
    <w:rsid w:val="005C36A6"/>
    <w:rsid w:val="00634407"/>
    <w:rsid w:val="006505DF"/>
    <w:rsid w:val="0067040F"/>
    <w:rsid w:val="006727F3"/>
    <w:rsid w:val="006A5C07"/>
    <w:rsid w:val="006C2033"/>
    <w:rsid w:val="006C57E2"/>
    <w:rsid w:val="006E342F"/>
    <w:rsid w:val="007033E4"/>
    <w:rsid w:val="0073133A"/>
    <w:rsid w:val="007935F4"/>
    <w:rsid w:val="007A015B"/>
    <w:rsid w:val="007D2508"/>
    <w:rsid w:val="00865663"/>
    <w:rsid w:val="008C0642"/>
    <w:rsid w:val="008C176F"/>
    <w:rsid w:val="008D3C99"/>
    <w:rsid w:val="009040BC"/>
    <w:rsid w:val="00935B20"/>
    <w:rsid w:val="00940E0A"/>
    <w:rsid w:val="00985ABE"/>
    <w:rsid w:val="009913AF"/>
    <w:rsid w:val="00A245AA"/>
    <w:rsid w:val="00A37309"/>
    <w:rsid w:val="00A9331D"/>
    <w:rsid w:val="00AC1D57"/>
    <w:rsid w:val="00B21369"/>
    <w:rsid w:val="00B60D36"/>
    <w:rsid w:val="00C15EDB"/>
    <w:rsid w:val="00C6233C"/>
    <w:rsid w:val="00C728AD"/>
    <w:rsid w:val="00CB6A52"/>
    <w:rsid w:val="00CF69C1"/>
    <w:rsid w:val="00D619C1"/>
    <w:rsid w:val="00D80EC3"/>
    <w:rsid w:val="00DB5974"/>
    <w:rsid w:val="00DC3EE4"/>
    <w:rsid w:val="00DC70C0"/>
    <w:rsid w:val="00DE52CC"/>
    <w:rsid w:val="00DE786C"/>
    <w:rsid w:val="00E6546E"/>
    <w:rsid w:val="00E7269C"/>
    <w:rsid w:val="00E7358F"/>
    <w:rsid w:val="00EC681A"/>
    <w:rsid w:val="00F730E9"/>
    <w:rsid w:val="00F73F3C"/>
    <w:rsid w:val="00F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DF6C"/>
  <w15:chartTrackingRefBased/>
  <w15:docId w15:val="{1D263B3F-83F7-4E65-BB33-5465FEC9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0D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6FE"/>
  </w:style>
  <w:style w:type="paragraph" w:styleId="Footer">
    <w:name w:val="footer"/>
    <w:basedOn w:val="Normal"/>
    <w:link w:val="FooterChar"/>
    <w:uiPriority w:val="99"/>
    <w:unhideWhenUsed/>
    <w:rsid w:val="001F5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6FE"/>
  </w:style>
  <w:style w:type="paragraph" w:customStyle="1" w:styleId="DeptBullets">
    <w:name w:val="DeptBullets"/>
    <w:basedOn w:val="Normal"/>
    <w:link w:val="DeptBulletsChar"/>
    <w:rsid w:val="005A195C"/>
    <w:pPr>
      <w:numPr>
        <w:numId w:val="1"/>
      </w:num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DeptBulletsChar">
    <w:name w:val="DeptBullets Char"/>
    <w:link w:val="DeptBullets"/>
    <w:rsid w:val="005A195C"/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6505DF"/>
    <w:pPr>
      <w:widowControl w:val="0"/>
      <w:numPr>
        <w:numId w:val="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6505DF"/>
    <w:rPr>
      <w:rFonts w:ascii="Arial" w:eastAsia="Times New Roman" w:hAnsi="Arial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5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8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8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0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F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6A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collections/maintained-schools-and-academies-inspections-and-outcomes-official-statistic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statistics/state-funded-schools-inspections-and-outcomes-as-at-31-august-201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statistics/state-funded-schools-inspections-and-outcomes-as-at-31-august-201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statistics/state-funded-schools-inspections-and-outcomes-as-at-31-august-20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09FBBCA29664287B9C24A4D0F14DF" ma:contentTypeVersion="9" ma:contentTypeDescription="Create a new document." ma:contentTypeScope="" ma:versionID="b9f25089e80c15aff098e6d628789701">
  <xsd:schema xmlns:xsd="http://www.w3.org/2001/XMLSchema" xmlns:xs="http://www.w3.org/2001/XMLSchema" xmlns:p="http://schemas.microsoft.com/office/2006/metadata/properties" xmlns:ns3="649d7d2f-3e12-41ef-a492-3c920988a59b" targetNamespace="http://schemas.microsoft.com/office/2006/metadata/properties" ma:root="true" ma:fieldsID="ce203eb7ae1c99168e133f67c9c06e72" ns3:_="">
    <xsd:import namespace="649d7d2f-3e12-41ef-a492-3c920988a5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d7d2f-3e12-41ef-a492-3c920988a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44FAA-B7A7-4D12-9DB7-B4BA6BA9C1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0912F1-3F44-464A-8EB4-55C1FAFE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d7d2f-3e12-41ef-a492-3c920988a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E9BBF-5E90-40E5-BEA3-80218310AB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KERMAH, Benjamin Akyea</dc:creator>
  <cp:keywords/>
  <dc:description/>
  <cp:lastModifiedBy>HIGGS, Mary</cp:lastModifiedBy>
  <cp:revision>4</cp:revision>
  <dcterms:created xsi:type="dcterms:W3CDTF">2020-07-23T13:00:00Z</dcterms:created>
  <dcterms:modified xsi:type="dcterms:W3CDTF">2020-07-23T14:45:00Z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0x01010045D09FBBCA29664287B9C24A4D0F14DF</vt:lpwstr>
  </property>
</Properties>
</file>